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BBF" w:rsidRPr="00054373" w:rsidRDefault="005739A6" w:rsidP="006E2770">
      <w:pPr>
        <w:spacing w:after="0"/>
        <w:ind w:left="43"/>
        <w:jc w:val="both"/>
        <w:rPr>
          <w:rFonts w:cs="David"/>
          <w:b/>
          <w:bCs/>
          <w:color w:val="17365D"/>
          <w:sz w:val="28"/>
          <w:szCs w:val="28"/>
          <w:rtl/>
        </w:rPr>
      </w:pPr>
      <w:r>
        <w:rPr>
          <w:noProof/>
        </w:rPr>
        <w:drawing>
          <wp:anchor distT="0" distB="0" distL="114300" distR="114300" simplePos="0" relativeHeight="251658240" behindDoc="0" locked="0" layoutInCell="1" allowOverlap="1">
            <wp:simplePos x="0" y="0"/>
            <wp:positionH relativeFrom="column">
              <wp:posOffset>5173980</wp:posOffset>
            </wp:positionH>
            <wp:positionV relativeFrom="paragraph">
              <wp:posOffset>-1165860</wp:posOffset>
            </wp:positionV>
            <wp:extent cx="579120" cy="809958"/>
            <wp:effectExtent l="0" t="0" r="0" b="9525"/>
            <wp:wrapNone/>
            <wp:docPr id="10" name="תמונה 10" descr="https://myhero.com/images/guest/g266711/hero92150/Grey_Rib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hero.com/images/guest/g266711/hero92150/Grey_Ribb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8099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6722" w:rsidRPr="00054373" w:rsidRDefault="00677F6E" w:rsidP="006E2770">
      <w:pPr>
        <w:spacing w:after="0"/>
        <w:ind w:left="43"/>
        <w:jc w:val="center"/>
        <w:rPr>
          <w:rFonts w:cs="David"/>
          <w:b/>
          <w:bCs/>
          <w:color w:val="17365D"/>
          <w:sz w:val="28"/>
          <w:szCs w:val="28"/>
          <w:rtl/>
        </w:rPr>
      </w:pPr>
      <w:r>
        <w:rPr>
          <w:rFonts w:cs="David" w:hint="cs"/>
          <w:b/>
          <w:bCs/>
          <w:color w:val="17365D"/>
          <w:sz w:val="28"/>
          <w:szCs w:val="28"/>
          <w:rtl/>
        </w:rPr>
        <w:t>מגמות ב</w:t>
      </w:r>
      <w:r w:rsidR="0024187C" w:rsidRPr="00054373">
        <w:rPr>
          <w:rFonts w:cs="David" w:hint="cs"/>
          <w:b/>
          <w:bCs/>
          <w:color w:val="17365D"/>
          <w:sz w:val="28"/>
          <w:szCs w:val="28"/>
          <w:rtl/>
        </w:rPr>
        <w:t xml:space="preserve">היארעות </w:t>
      </w:r>
      <w:r>
        <w:rPr>
          <w:rFonts w:cs="David" w:hint="cs"/>
          <w:b/>
          <w:bCs/>
          <w:color w:val="17365D"/>
          <w:sz w:val="28"/>
          <w:szCs w:val="28"/>
          <w:rtl/>
        </w:rPr>
        <w:t xml:space="preserve">גידולי מח ומערכת העצבים המרכזית, </w:t>
      </w:r>
      <w:r w:rsidR="005766B5">
        <w:rPr>
          <w:rFonts w:cs="David" w:hint="cs"/>
          <w:b/>
          <w:bCs/>
          <w:color w:val="17365D"/>
          <w:sz w:val="28"/>
          <w:szCs w:val="28"/>
          <w:rtl/>
        </w:rPr>
        <w:t>ישראל</w:t>
      </w:r>
      <w:r w:rsidR="009B7266">
        <w:rPr>
          <w:rFonts w:cs="David" w:hint="cs"/>
          <w:b/>
          <w:bCs/>
          <w:color w:val="17365D"/>
          <w:sz w:val="28"/>
          <w:szCs w:val="28"/>
          <w:rtl/>
        </w:rPr>
        <w:t xml:space="preserve">, </w:t>
      </w:r>
      <w:r>
        <w:rPr>
          <w:rFonts w:cs="David" w:hint="cs"/>
          <w:b/>
          <w:bCs/>
          <w:color w:val="17365D"/>
          <w:sz w:val="28"/>
          <w:szCs w:val="28"/>
          <w:rtl/>
        </w:rPr>
        <w:t>1990</w:t>
      </w:r>
      <w:r w:rsidR="007A0C2D">
        <w:rPr>
          <w:rFonts w:cs="David" w:hint="cs"/>
          <w:b/>
          <w:bCs/>
          <w:color w:val="17365D"/>
          <w:sz w:val="28"/>
          <w:szCs w:val="28"/>
          <w:rtl/>
        </w:rPr>
        <w:t>-</w:t>
      </w:r>
      <w:r w:rsidR="000D6722" w:rsidRPr="00054373">
        <w:rPr>
          <w:rFonts w:cs="David" w:hint="cs"/>
          <w:b/>
          <w:bCs/>
          <w:color w:val="17365D"/>
          <w:sz w:val="28"/>
          <w:szCs w:val="28"/>
          <w:rtl/>
        </w:rPr>
        <w:t>201</w:t>
      </w:r>
      <w:r w:rsidR="003B4681">
        <w:rPr>
          <w:rFonts w:cs="David" w:hint="cs"/>
          <w:b/>
          <w:bCs/>
          <w:color w:val="17365D"/>
          <w:sz w:val="28"/>
          <w:szCs w:val="28"/>
          <w:rtl/>
        </w:rPr>
        <w:t>4</w:t>
      </w:r>
    </w:p>
    <w:p w:rsidR="001E47B9" w:rsidRPr="00677F6E" w:rsidRDefault="005766B5" w:rsidP="006E2770">
      <w:pPr>
        <w:spacing w:after="0"/>
        <w:ind w:left="43"/>
        <w:jc w:val="center"/>
        <w:rPr>
          <w:rFonts w:cs="David"/>
          <w:b/>
          <w:bCs/>
          <w:sz w:val="24"/>
          <w:szCs w:val="24"/>
          <w:rtl/>
        </w:rPr>
      </w:pPr>
      <w:r>
        <w:rPr>
          <w:rFonts w:cs="David" w:hint="cs"/>
          <w:b/>
          <w:bCs/>
          <w:color w:val="17365D"/>
          <w:sz w:val="24"/>
          <w:szCs w:val="24"/>
          <w:rtl/>
        </w:rPr>
        <w:t xml:space="preserve">יום הסרטן הבינלאומי, </w:t>
      </w:r>
      <w:r w:rsidR="00677F6E" w:rsidRPr="00677F6E">
        <w:rPr>
          <w:rFonts w:cs="David" w:hint="cs"/>
          <w:b/>
          <w:bCs/>
          <w:color w:val="17365D"/>
          <w:sz w:val="28"/>
          <w:szCs w:val="28"/>
          <w:rtl/>
        </w:rPr>
        <w:t>2018</w:t>
      </w:r>
    </w:p>
    <w:p w:rsidR="00697BBF" w:rsidRPr="00054373" w:rsidRDefault="00697BBF" w:rsidP="006E2770">
      <w:pPr>
        <w:spacing w:after="0"/>
        <w:ind w:left="43"/>
        <w:jc w:val="center"/>
        <w:rPr>
          <w:rFonts w:cs="David"/>
          <w:i/>
          <w:iCs/>
          <w:color w:val="17365D"/>
          <w:rtl/>
        </w:rPr>
      </w:pPr>
    </w:p>
    <w:p w:rsidR="001E47B9" w:rsidRPr="00054373" w:rsidRDefault="001E47B9" w:rsidP="006E2770">
      <w:pPr>
        <w:spacing w:after="0"/>
        <w:ind w:left="43"/>
        <w:jc w:val="center"/>
        <w:rPr>
          <w:rFonts w:cs="David"/>
          <w:i/>
          <w:iCs/>
          <w:color w:val="17365D"/>
          <w:sz w:val="18"/>
          <w:szCs w:val="18"/>
          <w:rtl/>
        </w:rPr>
      </w:pPr>
      <w:r w:rsidRPr="00054373">
        <w:rPr>
          <w:rFonts w:cs="David" w:hint="cs"/>
          <w:i/>
          <w:iCs/>
          <w:color w:val="17365D"/>
          <w:sz w:val="18"/>
          <w:szCs w:val="18"/>
          <w:rtl/>
        </w:rPr>
        <w:t>מקור הנתונים</w:t>
      </w:r>
      <w:r w:rsidRPr="00054373">
        <w:rPr>
          <w:rFonts w:cs="David" w:hint="cs"/>
          <w:b/>
          <w:bCs/>
          <w:i/>
          <w:iCs/>
          <w:color w:val="17365D"/>
          <w:sz w:val="18"/>
          <w:szCs w:val="18"/>
          <w:rtl/>
        </w:rPr>
        <w:t>: הרישום הלאומי לסרטן והמרכז הלאומי לבקרת מחלות</w:t>
      </w:r>
      <w:r w:rsidR="004829CB" w:rsidRPr="00054373">
        <w:rPr>
          <w:rFonts w:cs="David" w:hint="cs"/>
          <w:b/>
          <w:bCs/>
          <w:i/>
          <w:iCs/>
          <w:color w:val="17365D"/>
          <w:sz w:val="18"/>
          <w:szCs w:val="18"/>
          <w:rtl/>
        </w:rPr>
        <w:t>, משרד הבריאות</w:t>
      </w:r>
    </w:p>
    <w:p w:rsidR="001E47B9" w:rsidRPr="00054373" w:rsidRDefault="001E47B9" w:rsidP="006E2770">
      <w:pPr>
        <w:spacing w:after="0"/>
        <w:ind w:left="43"/>
        <w:jc w:val="center"/>
        <w:rPr>
          <w:rFonts w:cs="David"/>
          <w:sz w:val="18"/>
          <w:szCs w:val="18"/>
          <w:rtl/>
        </w:rPr>
      </w:pPr>
      <w:r w:rsidRPr="00054373">
        <w:rPr>
          <w:rFonts w:cs="David" w:hint="cs"/>
          <w:i/>
          <w:iCs/>
          <w:color w:val="17365D"/>
          <w:sz w:val="18"/>
          <w:szCs w:val="18"/>
          <w:rtl/>
        </w:rPr>
        <w:t>הכנת הנתונים ועיבודם:</w:t>
      </w:r>
      <w:r w:rsidR="009B7266">
        <w:rPr>
          <w:rFonts w:cs="David" w:hint="cs"/>
          <w:b/>
          <w:bCs/>
          <w:i/>
          <w:iCs/>
          <w:color w:val="17365D"/>
          <w:sz w:val="18"/>
          <w:szCs w:val="18"/>
          <w:rtl/>
        </w:rPr>
        <w:t xml:space="preserve"> </w:t>
      </w:r>
      <w:r w:rsidR="000D6722" w:rsidRPr="00054373">
        <w:rPr>
          <w:rFonts w:cs="David" w:hint="cs"/>
          <w:b/>
          <w:bCs/>
          <w:i/>
          <w:iCs/>
          <w:color w:val="17365D"/>
          <w:sz w:val="18"/>
          <w:szCs w:val="18"/>
          <w:rtl/>
        </w:rPr>
        <w:t>ד"ר ברברה סילברמן,</w:t>
      </w:r>
      <w:r w:rsidR="001B375A">
        <w:rPr>
          <w:rFonts w:cs="David" w:hint="cs"/>
          <w:sz w:val="18"/>
          <w:szCs w:val="18"/>
          <w:rtl/>
        </w:rPr>
        <w:t xml:space="preserve"> </w:t>
      </w:r>
      <w:r w:rsidR="005766B5">
        <w:rPr>
          <w:rFonts w:cs="David" w:hint="cs"/>
          <w:b/>
          <w:bCs/>
          <w:i/>
          <w:iCs/>
          <w:color w:val="17365D"/>
          <w:sz w:val="18"/>
          <w:szCs w:val="18"/>
          <w:rtl/>
        </w:rPr>
        <w:t xml:space="preserve">פרופ' </w:t>
      </w:r>
      <w:r w:rsidR="00E04D0C" w:rsidRPr="00054373">
        <w:rPr>
          <w:rFonts w:cs="David" w:hint="cs"/>
          <w:b/>
          <w:bCs/>
          <w:i/>
          <w:iCs/>
          <w:color w:val="17365D"/>
          <w:sz w:val="18"/>
          <w:szCs w:val="18"/>
          <w:rtl/>
        </w:rPr>
        <w:t xml:space="preserve"> ליטל קינן-בוקר</w:t>
      </w:r>
    </w:p>
    <w:p w:rsidR="009B74DD" w:rsidRPr="00282B16" w:rsidRDefault="009B74DD" w:rsidP="006E2770">
      <w:pPr>
        <w:spacing w:after="0"/>
        <w:ind w:left="43"/>
        <w:jc w:val="both"/>
        <w:rPr>
          <w:rFonts w:cs="David"/>
          <w:b/>
          <w:bCs/>
          <w:color w:val="17365D"/>
          <w:highlight w:val="lightGray"/>
          <w:rtl/>
        </w:rPr>
      </w:pPr>
    </w:p>
    <w:p w:rsidR="00893847" w:rsidRDefault="00893847" w:rsidP="006E2770">
      <w:pPr>
        <w:pStyle w:val="ad"/>
        <w:numPr>
          <w:ilvl w:val="0"/>
          <w:numId w:val="9"/>
        </w:numPr>
        <w:spacing w:after="0"/>
        <w:ind w:left="43" w:firstLine="0"/>
        <w:jc w:val="both"/>
        <w:rPr>
          <w:rFonts w:cs="David"/>
          <w:b/>
          <w:bCs/>
          <w:sz w:val="28"/>
          <w:szCs w:val="28"/>
        </w:rPr>
      </w:pPr>
      <w:r>
        <w:rPr>
          <w:rFonts w:cs="David" w:hint="cs"/>
          <w:b/>
          <w:bCs/>
          <w:color w:val="17365D"/>
          <w:sz w:val="28"/>
          <w:szCs w:val="28"/>
          <w:rtl/>
        </w:rPr>
        <w:t>רקע</w:t>
      </w:r>
    </w:p>
    <w:p w:rsidR="00677F6E" w:rsidRDefault="00677F6E" w:rsidP="001A6CEA">
      <w:pPr>
        <w:spacing w:after="0"/>
        <w:ind w:left="43"/>
        <w:jc w:val="both"/>
        <w:rPr>
          <w:rFonts w:cs="David"/>
          <w:color w:val="17365D"/>
          <w:sz w:val="24"/>
          <w:szCs w:val="24"/>
          <w:rtl/>
        </w:rPr>
      </w:pPr>
      <w:r>
        <w:rPr>
          <w:rFonts w:cs="David" w:hint="cs"/>
          <w:color w:val="17365D"/>
          <w:sz w:val="24"/>
          <w:szCs w:val="24"/>
          <w:rtl/>
        </w:rPr>
        <w:t xml:space="preserve">טלפונים סלולריים הפכו </w:t>
      </w:r>
      <w:r w:rsidR="00EC01A1">
        <w:rPr>
          <w:rFonts w:cs="David" w:hint="cs"/>
          <w:color w:val="17365D"/>
          <w:sz w:val="24"/>
          <w:szCs w:val="24"/>
          <w:rtl/>
        </w:rPr>
        <w:t>ל</w:t>
      </w:r>
      <w:r>
        <w:rPr>
          <w:rFonts w:cs="David" w:hint="cs"/>
          <w:color w:val="17365D"/>
          <w:sz w:val="24"/>
          <w:szCs w:val="24"/>
          <w:rtl/>
        </w:rPr>
        <w:t xml:space="preserve">חלק בלתי נפרד מחיי היומיום במהלך שנות התשעים </w:t>
      </w:r>
      <w:r w:rsidR="00EC01A1">
        <w:rPr>
          <w:rFonts w:cs="David" w:hint="cs"/>
          <w:color w:val="17365D"/>
          <w:sz w:val="24"/>
          <w:szCs w:val="24"/>
          <w:rtl/>
        </w:rPr>
        <w:t>ש</w:t>
      </w:r>
      <w:r>
        <w:rPr>
          <w:rFonts w:cs="David" w:hint="cs"/>
          <w:color w:val="17365D"/>
          <w:sz w:val="24"/>
          <w:szCs w:val="24"/>
          <w:rtl/>
        </w:rPr>
        <w:t>ל</w:t>
      </w:r>
      <w:r w:rsidR="00EC01A1">
        <w:rPr>
          <w:rFonts w:cs="David" w:hint="cs"/>
          <w:color w:val="17365D"/>
          <w:sz w:val="24"/>
          <w:szCs w:val="24"/>
          <w:rtl/>
        </w:rPr>
        <w:t xml:space="preserve"> ה</w:t>
      </w:r>
      <w:r>
        <w:rPr>
          <w:rFonts w:cs="David" w:hint="cs"/>
          <w:color w:val="17365D"/>
          <w:sz w:val="24"/>
          <w:szCs w:val="24"/>
          <w:rtl/>
        </w:rPr>
        <w:t>מאה הקודמת.</w:t>
      </w:r>
      <w:r w:rsidR="00D952C8">
        <w:rPr>
          <w:rFonts w:cs="David" w:hint="cs"/>
          <w:color w:val="17365D"/>
          <w:sz w:val="24"/>
          <w:szCs w:val="24"/>
          <w:rtl/>
        </w:rPr>
        <w:t xml:space="preserve"> בישראל החל השימוש בטלפון סלולרי ב</w:t>
      </w:r>
      <w:r w:rsidR="001A6CEA">
        <w:rPr>
          <w:rFonts w:cs="David" w:hint="cs"/>
          <w:color w:val="17365D"/>
          <w:sz w:val="24"/>
          <w:szCs w:val="24"/>
          <w:rtl/>
        </w:rPr>
        <w:t xml:space="preserve">שנת </w:t>
      </w:r>
      <w:r w:rsidR="00D952C8">
        <w:rPr>
          <w:rFonts w:cs="David" w:hint="cs"/>
          <w:color w:val="17365D"/>
          <w:sz w:val="24"/>
          <w:szCs w:val="24"/>
          <w:rtl/>
        </w:rPr>
        <w:t xml:space="preserve">1986, </w:t>
      </w:r>
      <w:r w:rsidR="00D952C8" w:rsidRPr="000F1A0F">
        <w:rPr>
          <w:rFonts w:cs="David" w:hint="cs"/>
          <w:b/>
          <w:bCs/>
          <w:color w:val="17365D"/>
          <w:sz w:val="24"/>
          <w:szCs w:val="24"/>
          <w:rtl/>
        </w:rPr>
        <w:t>ומספר המשתמשים גדל מ-5,000 בשנת 1988 לכ-4 מיליון בשנת 2001 ולכ-10 מיליון בשנת 2016</w:t>
      </w:r>
      <w:r w:rsidR="005739A6">
        <w:rPr>
          <w:rFonts w:cs="David" w:hint="cs"/>
          <w:color w:val="17365D"/>
          <w:sz w:val="24"/>
          <w:szCs w:val="24"/>
          <w:rtl/>
        </w:rPr>
        <w:t xml:space="preserve"> (לחלק מהמשתמשים יותר מאשר מכשיר אחד)</w:t>
      </w:r>
      <w:r w:rsidR="00D952C8">
        <w:rPr>
          <w:rFonts w:cs="David" w:hint="cs"/>
          <w:color w:val="17365D"/>
          <w:sz w:val="24"/>
          <w:szCs w:val="24"/>
          <w:rtl/>
        </w:rPr>
        <w:t xml:space="preserve">. </w:t>
      </w:r>
      <w:r>
        <w:rPr>
          <w:rFonts w:cs="David" w:hint="cs"/>
          <w:color w:val="17365D"/>
          <w:sz w:val="24"/>
          <w:szCs w:val="24"/>
          <w:rtl/>
        </w:rPr>
        <w:t xml:space="preserve">מדובר בטלפון אלחוטי נייד, המסוגל לקלוט ולשדר גלי מיקרו </w:t>
      </w:r>
      <w:r>
        <w:rPr>
          <w:rFonts w:cs="David"/>
          <w:color w:val="17365D"/>
          <w:sz w:val="24"/>
          <w:szCs w:val="24"/>
          <w:rtl/>
        </w:rPr>
        <w:t>–</w:t>
      </w:r>
      <w:r>
        <w:rPr>
          <w:rFonts w:cs="David" w:hint="cs"/>
          <w:color w:val="17365D"/>
          <w:sz w:val="24"/>
          <w:szCs w:val="24"/>
          <w:rtl/>
        </w:rPr>
        <w:t xml:space="preserve"> סוג של קרינה אלקטרומגנטית </w:t>
      </w:r>
      <w:r>
        <w:rPr>
          <w:rFonts w:cs="David"/>
          <w:color w:val="17365D"/>
          <w:sz w:val="24"/>
          <w:szCs w:val="24"/>
          <w:rtl/>
        </w:rPr>
        <w:t>–</w:t>
      </w:r>
      <w:r>
        <w:rPr>
          <w:rFonts w:cs="David" w:hint="cs"/>
          <w:color w:val="17365D"/>
          <w:sz w:val="24"/>
          <w:szCs w:val="24"/>
          <w:rtl/>
        </w:rPr>
        <w:t xml:space="preserve"> בו זמנית. טכנולוגית ההפעלה מתבססת על פריסת תחנות שידור</w:t>
      </w:r>
      <w:r w:rsidR="00EC01A1">
        <w:rPr>
          <w:rFonts w:cs="David" w:hint="cs"/>
          <w:color w:val="17365D"/>
          <w:sz w:val="24"/>
          <w:szCs w:val="24"/>
          <w:rtl/>
        </w:rPr>
        <w:t xml:space="preserve"> ("אנטנות")</w:t>
      </w:r>
      <w:r>
        <w:rPr>
          <w:rFonts w:cs="David" w:hint="cs"/>
          <w:color w:val="17365D"/>
          <w:sz w:val="24"/>
          <w:szCs w:val="24"/>
          <w:rtl/>
        </w:rPr>
        <w:t xml:space="preserve"> במרחב </w:t>
      </w:r>
      <w:r w:rsidR="00EC01A1">
        <w:rPr>
          <w:rFonts w:cs="David" w:hint="cs"/>
          <w:color w:val="17365D"/>
          <w:sz w:val="24"/>
          <w:szCs w:val="24"/>
          <w:rtl/>
        </w:rPr>
        <w:t xml:space="preserve">הציבורי </w:t>
      </w:r>
      <w:r>
        <w:rPr>
          <w:rFonts w:cs="David" w:hint="cs"/>
          <w:color w:val="17365D"/>
          <w:sz w:val="24"/>
          <w:szCs w:val="24"/>
          <w:rtl/>
        </w:rPr>
        <w:t>במבנה</w:t>
      </w:r>
      <w:r w:rsidR="00EC01A1">
        <w:rPr>
          <w:rFonts w:cs="David" w:hint="cs"/>
          <w:color w:val="17365D"/>
          <w:sz w:val="24"/>
          <w:szCs w:val="24"/>
          <w:rtl/>
        </w:rPr>
        <w:t xml:space="preserve"> </w:t>
      </w:r>
      <w:r>
        <w:rPr>
          <w:rFonts w:cs="David" w:hint="cs"/>
          <w:color w:val="17365D"/>
          <w:sz w:val="24"/>
          <w:szCs w:val="24"/>
          <w:rtl/>
        </w:rPr>
        <w:t>של תאים (</w:t>
      </w:r>
      <w:r w:rsidR="001A6CEA">
        <w:rPr>
          <w:rFonts w:cs="David"/>
          <w:color w:val="17365D"/>
          <w:sz w:val="24"/>
          <w:szCs w:val="24"/>
        </w:rPr>
        <w:t>cells</w:t>
      </w:r>
      <w:r w:rsidR="001A6CEA">
        <w:rPr>
          <w:rFonts w:cs="David" w:hint="cs"/>
          <w:color w:val="17365D"/>
          <w:sz w:val="24"/>
          <w:szCs w:val="24"/>
          <w:rtl/>
        </w:rPr>
        <w:t xml:space="preserve">, </w:t>
      </w:r>
      <w:r>
        <w:rPr>
          <w:rFonts w:cs="David" w:hint="cs"/>
          <w:color w:val="17365D"/>
          <w:sz w:val="24"/>
          <w:szCs w:val="24"/>
          <w:rtl/>
        </w:rPr>
        <w:t xml:space="preserve">מקור השם "טלפון סלולרי", </w:t>
      </w:r>
      <w:r>
        <w:rPr>
          <w:rFonts w:cs="David"/>
          <w:color w:val="17365D"/>
          <w:sz w:val="24"/>
          <w:szCs w:val="24"/>
        </w:rPr>
        <w:t>cellular</w:t>
      </w:r>
      <w:r>
        <w:rPr>
          <w:rFonts w:cs="David" w:hint="cs"/>
          <w:color w:val="17365D"/>
          <w:sz w:val="24"/>
          <w:szCs w:val="24"/>
          <w:rtl/>
        </w:rPr>
        <w:t>)</w:t>
      </w:r>
      <w:r w:rsidR="00EC01A1">
        <w:rPr>
          <w:rFonts w:cs="David" w:hint="cs"/>
          <w:color w:val="17365D"/>
          <w:sz w:val="24"/>
          <w:szCs w:val="24"/>
          <w:rtl/>
        </w:rPr>
        <w:t xml:space="preserve">. </w:t>
      </w:r>
      <w:r>
        <w:rPr>
          <w:rFonts w:cs="David" w:hint="cs"/>
          <w:color w:val="17365D"/>
          <w:sz w:val="24"/>
          <w:szCs w:val="24"/>
          <w:rtl/>
        </w:rPr>
        <w:t xml:space="preserve">כל </w:t>
      </w:r>
      <w:r w:rsidR="00EC01A1">
        <w:rPr>
          <w:rFonts w:cs="David" w:hint="cs"/>
          <w:color w:val="17365D"/>
          <w:sz w:val="24"/>
          <w:szCs w:val="24"/>
          <w:rtl/>
        </w:rPr>
        <w:t>תחנת שידור</w:t>
      </w:r>
      <w:r>
        <w:rPr>
          <w:rFonts w:cs="David" w:hint="cs"/>
          <w:color w:val="17365D"/>
          <w:sz w:val="24"/>
          <w:szCs w:val="24"/>
          <w:rtl/>
        </w:rPr>
        <w:t xml:space="preserve"> מכסה אזור מוגדר </w:t>
      </w:r>
      <w:r w:rsidR="00EC01A1">
        <w:rPr>
          <w:rFonts w:cs="David" w:hint="cs"/>
          <w:color w:val="17365D"/>
          <w:sz w:val="24"/>
          <w:szCs w:val="24"/>
          <w:rtl/>
        </w:rPr>
        <w:t>ומכשיר הקצה (הטלפון הנייד) מאתר את התחנה הקרובה ביותר באופן אוטומטי</w:t>
      </w:r>
      <w:r w:rsidR="001A6CEA">
        <w:rPr>
          <w:rFonts w:cs="David" w:hint="cs"/>
          <w:color w:val="17365D"/>
          <w:sz w:val="24"/>
          <w:szCs w:val="24"/>
          <w:rtl/>
        </w:rPr>
        <w:t xml:space="preserve"> ו</w:t>
      </w:r>
      <w:r w:rsidR="00EC01A1">
        <w:rPr>
          <w:rFonts w:cs="David" w:hint="cs"/>
          <w:color w:val="17365D"/>
          <w:sz w:val="24"/>
          <w:szCs w:val="24"/>
          <w:rtl/>
        </w:rPr>
        <w:t>משדר אליה ודרכה</w:t>
      </w:r>
      <w:r w:rsidR="001A6CEA">
        <w:rPr>
          <w:rFonts w:cs="David" w:hint="cs"/>
          <w:color w:val="17365D"/>
          <w:sz w:val="24"/>
          <w:szCs w:val="24"/>
          <w:rtl/>
        </w:rPr>
        <w:t xml:space="preserve">. </w:t>
      </w:r>
      <w:r w:rsidR="00EC01A1">
        <w:rPr>
          <w:rFonts w:cs="David" w:hint="cs"/>
          <w:color w:val="17365D"/>
          <w:sz w:val="24"/>
          <w:szCs w:val="24"/>
          <w:rtl/>
        </w:rPr>
        <w:t>התקשורת נשמרת רציפה גם במעבר בין תחנת שידור אחת למשניה</w:t>
      </w:r>
      <w:r w:rsidR="00EC01A1">
        <w:rPr>
          <w:rStyle w:val="ac"/>
          <w:rFonts w:cs="David"/>
          <w:color w:val="17365D"/>
          <w:sz w:val="24"/>
          <w:szCs w:val="24"/>
          <w:rtl/>
        </w:rPr>
        <w:footnoteReference w:id="1"/>
      </w:r>
      <w:r w:rsidR="00EC01A1">
        <w:rPr>
          <w:rFonts w:cs="David" w:hint="cs"/>
          <w:color w:val="17365D"/>
          <w:sz w:val="24"/>
          <w:szCs w:val="24"/>
          <w:rtl/>
        </w:rPr>
        <w:t>.</w:t>
      </w:r>
    </w:p>
    <w:p w:rsidR="000B55C1" w:rsidRPr="000F1A0F" w:rsidRDefault="000B55C1" w:rsidP="001A6CEA">
      <w:pPr>
        <w:spacing w:after="0"/>
        <w:ind w:left="43"/>
        <w:jc w:val="both"/>
        <w:rPr>
          <w:rFonts w:cs="David"/>
          <w:b/>
          <w:bCs/>
          <w:color w:val="17365D"/>
          <w:sz w:val="24"/>
          <w:szCs w:val="24"/>
          <w:rtl/>
        </w:rPr>
      </w:pPr>
      <w:r w:rsidRPr="000F1A0F">
        <w:rPr>
          <w:rFonts w:cs="David" w:hint="cs"/>
          <w:b/>
          <w:bCs/>
          <w:color w:val="17365D"/>
          <w:sz w:val="24"/>
          <w:szCs w:val="24"/>
          <w:rtl/>
        </w:rPr>
        <w:t>קרינה אלקטרומגנטית  היא סוג של אנרגיה חשמלית מגנטית המתפשטת בצורת גלים במרחב או בתווך כלשהו. הקרינה האלקטרומגנטית המעורבת בשימוש בטלפון סלולרי היא קרינה בלתי מייננת</w:t>
      </w:r>
      <w:r>
        <w:rPr>
          <w:rFonts w:cs="David" w:hint="cs"/>
          <w:color w:val="17365D"/>
          <w:sz w:val="24"/>
          <w:szCs w:val="24"/>
          <w:rtl/>
        </w:rPr>
        <w:t xml:space="preserve"> </w:t>
      </w:r>
      <w:r>
        <w:rPr>
          <w:rFonts w:cs="David"/>
          <w:color w:val="17365D"/>
          <w:sz w:val="24"/>
          <w:szCs w:val="24"/>
        </w:rPr>
        <w:t>(non-ionizing radiation)</w:t>
      </w:r>
      <w:r>
        <w:rPr>
          <w:rFonts w:cs="David" w:hint="cs"/>
          <w:color w:val="17365D"/>
          <w:sz w:val="24"/>
          <w:szCs w:val="24"/>
          <w:rtl/>
        </w:rPr>
        <w:t xml:space="preserve">, </w:t>
      </w:r>
      <w:r w:rsidRPr="000F1A0F">
        <w:rPr>
          <w:rFonts w:cs="David" w:hint="cs"/>
          <w:b/>
          <w:bCs/>
          <w:color w:val="17365D"/>
          <w:sz w:val="24"/>
          <w:szCs w:val="24"/>
          <w:rtl/>
        </w:rPr>
        <w:t xml:space="preserve">כלומר קרינה שתדירותה איננה מספיקה </w:t>
      </w:r>
      <w:r w:rsidR="00900072" w:rsidRPr="000F1A0F">
        <w:rPr>
          <w:rFonts w:cs="David" w:hint="cs"/>
          <w:b/>
          <w:bCs/>
          <w:color w:val="17365D"/>
          <w:sz w:val="24"/>
          <w:szCs w:val="24"/>
          <w:rtl/>
        </w:rPr>
        <w:t xml:space="preserve">בכדי </w:t>
      </w:r>
      <w:r w:rsidRPr="000F1A0F">
        <w:rPr>
          <w:rFonts w:cs="David" w:hint="cs"/>
          <w:b/>
          <w:bCs/>
          <w:color w:val="17365D"/>
          <w:sz w:val="24"/>
          <w:szCs w:val="24"/>
          <w:rtl/>
        </w:rPr>
        <w:t xml:space="preserve">לשנות את מבנה </w:t>
      </w:r>
      <w:r w:rsidR="001A6CEA" w:rsidRPr="000F1A0F">
        <w:rPr>
          <w:rFonts w:cs="David" w:hint="cs"/>
          <w:b/>
          <w:bCs/>
          <w:color w:val="17365D"/>
          <w:sz w:val="24"/>
          <w:szCs w:val="24"/>
          <w:rtl/>
        </w:rPr>
        <w:t>גרעין התא</w:t>
      </w:r>
      <w:r w:rsidRPr="000F1A0F">
        <w:rPr>
          <w:rFonts w:cs="David" w:hint="cs"/>
          <w:b/>
          <w:bCs/>
          <w:color w:val="17365D"/>
          <w:sz w:val="24"/>
          <w:szCs w:val="24"/>
          <w:rtl/>
        </w:rPr>
        <w:t xml:space="preserve"> באמצעות יינון. זאת בניגוד לקרינה מייננת</w:t>
      </w:r>
      <w:r>
        <w:rPr>
          <w:rFonts w:cs="David" w:hint="cs"/>
          <w:color w:val="17365D"/>
          <w:sz w:val="24"/>
          <w:szCs w:val="24"/>
          <w:rtl/>
        </w:rPr>
        <w:t xml:space="preserve"> (כמו למשל קרינה על-סגולית, </w:t>
      </w:r>
      <w:r>
        <w:rPr>
          <w:rFonts w:cs="David"/>
          <w:color w:val="17365D"/>
          <w:sz w:val="24"/>
          <w:szCs w:val="24"/>
        </w:rPr>
        <w:t>UV</w:t>
      </w:r>
      <w:r>
        <w:rPr>
          <w:rFonts w:cs="David" w:hint="cs"/>
          <w:color w:val="17365D"/>
          <w:sz w:val="24"/>
          <w:szCs w:val="24"/>
          <w:rtl/>
        </w:rPr>
        <w:t xml:space="preserve">), </w:t>
      </w:r>
      <w:r w:rsidRPr="000F1A0F">
        <w:rPr>
          <w:rFonts w:cs="David" w:hint="cs"/>
          <w:b/>
          <w:bCs/>
          <w:color w:val="17365D"/>
          <w:sz w:val="24"/>
          <w:szCs w:val="24"/>
          <w:rtl/>
        </w:rPr>
        <w:t>שתדירותה גדולה יותר והיא מסוגלת לפגוע במבנה ה</w:t>
      </w:r>
      <w:r w:rsidR="001A6CEA" w:rsidRPr="000F1A0F">
        <w:rPr>
          <w:rFonts w:cs="David" w:hint="cs"/>
          <w:b/>
          <w:bCs/>
          <w:color w:val="17365D"/>
          <w:sz w:val="24"/>
          <w:szCs w:val="24"/>
          <w:rtl/>
        </w:rPr>
        <w:t>גרעין</w:t>
      </w:r>
      <w:r w:rsidRPr="000F1A0F">
        <w:rPr>
          <w:rFonts w:cs="David" w:hint="cs"/>
          <w:b/>
          <w:bCs/>
          <w:color w:val="17365D"/>
          <w:sz w:val="24"/>
          <w:szCs w:val="24"/>
          <w:rtl/>
        </w:rPr>
        <w:t xml:space="preserve"> באמצעות יינון</w:t>
      </w:r>
      <w:r w:rsidRPr="000F1A0F">
        <w:rPr>
          <w:rStyle w:val="ac"/>
          <w:rFonts w:cs="David"/>
          <w:b/>
          <w:bCs/>
          <w:color w:val="17365D"/>
          <w:sz w:val="24"/>
          <w:szCs w:val="24"/>
          <w:rtl/>
        </w:rPr>
        <w:footnoteReference w:id="2"/>
      </w:r>
      <w:r w:rsidRPr="000F1A0F">
        <w:rPr>
          <w:rFonts w:cs="David" w:hint="cs"/>
          <w:b/>
          <w:bCs/>
          <w:color w:val="17365D"/>
          <w:sz w:val="24"/>
          <w:szCs w:val="24"/>
          <w:rtl/>
        </w:rPr>
        <w:t>, ו</w:t>
      </w:r>
      <w:r w:rsidR="00900072" w:rsidRPr="000F1A0F">
        <w:rPr>
          <w:rFonts w:cs="David" w:hint="cs"/>
          <w:b/>
          <w:bCs/>
          <w:color w:val="17365D"/>
          <w:sz w:val="24"/>
          <w:szCs w:val="24"/>
          <w:rtl/>
        </w:rPr>
        <w:t xml:space="preserve">לפיכך </w:t>
      </w:r>
      <w:r w:rsidRPr="000F1A0F">
        <w:rPr>
          <w:rFonts w:cs="David" w:hint="cs"/>
          <w:b/>
          <w:bCs/>
          <w:color w:val="17365D"/>
          <w:sz w:val="24"/>
          <w:szCs w:val="24"/>
          <w:rtl/>
        </w:rPr>
        <w:t>נחשבת לגורם מסרטן וודאי בבני אדם</w:t>
      </w:r>
      <w:r w:rsidRPr="000F1A0F">
        <w:rPr>
          <w:rStyle w:val="ac"/>
          <w:rFonts w:cs="David"/>
          <w:b/>
          <w:bCs/>
          <w:color w:val="17365D"/>
          <w:sz w:val="24"/>
          <w:szCs w:val="24"/>
          <w:rtl/>
        </w:rPr>
        <w:footnoteReference w:id="3"/>
      </w:r>
      <w:r w:rsidRPr="000F1A0F">
        <w:rPr>
          <w:rFonts w:cs="David" w:hint="cs"/>
          <w:b/>
          <w:bCs/>
          <w:color w:val="17365D"/>
          <w:sz w:val="24"/>
          <w:szCs w:val="24"/>
          <w:rtl/>
        </w:rPr>
        <w:t xml:space="preserve">.  </w:t>
      </w:r>
    </w:p>
    <w:p w:rsidR="00900072" w:rsidRPr="000F1A0F" w:rsidRDefault="00ED3959" w:rsidP="006E2770">
      <w:pPr>
        <w:spacing w:after="0"/>
        <w:ind w:left="43"/>
        <w:jc w:val="both"/>
        <w:rPr>
          <w:rFonts w:cs="David"/>
          <w:b/>
          <w:bCs/>
          <w:color w:val="17365D"/>
          <w:sz w:val="24"/>
          <w:szCs w:val="24"/>
          <w:rtl/>
        </w:rPr>
      </w:pPr>
      <w:r>
        <w:rPr>
          <w:rFonts w:cs="David" w:hint="cs"/>
          <w:color w:val="17365D"/>
          <w:sz w:val="24"/>
          <w:szCs w:val="24"/>
          <w:rtl/>
        </w:rPr>
        <w:t xml:space="preserve">למרות זאת, הרקמות הסמוכות למכשיר הטלפון הנייד </w:t>
      </w:r>
      <w:r w:rsidR="00282A28">
        <w:rPr>
          <w:rFonts w:cs="David" w:hint="cs"/>
          <w:color w:val="17365D"/>
          <w:sz w:val="24"/>
          <w:szCs w:val="24"/>
          <w:rtl/>
        </w:rPr>
        <w:t xml:space="preserve">(אזור האוזן, הראש, הצוואר) </w:t>
      </w:r>
      <w:r>
        <w:rPr>
          <w:rFonts w:cs="David" w:hint="cs"/>
          <w:color w:val="17365D"/>
          <w:sz w:val="24"/>
          <w:szCs w:val="24"/>
          <w:rtl/>
        </w:rPr>
        <w:t xml:space="preserve">סופגות את האנרגיה שפולט המכשיר, </w:t>
      </w:r>
      <w:r w:rsidR="00900072">
        <w:rPr>
          <w:rFonts w:cs="David" w:hint="cs"/>
          <w:color w:val="17365D"/>
          <w:sz w:val="24"/>
          <w:szCs w:val="24"/>
          <w:rtl/>
        </w:rPr>
        <w:t xml:space="preserve">ועובדה זו, </w:t>
      </w:r>
      <w:r>
        <w:rPr>
          <w:rFonts w:cs="David" w:hint="cs"/>
          <w:color w:val="17365D"/>
          <w:sz w:val="24"/>
          <w:szCs w:val="24"/>
          <w:rtl/>
        </w:rPr>
        <w:t>במקביל לגידול העצום במספר המכשירים הניידים ול</w:t>
      </w:r>
      <w:r w:rsidR="000B55C1">
        <w:rPr>
          <w:rFonts w:cs="David" w:hint="cs"/>
          <w:color w:val="17365D"/>
          <w:sz w:val="24"/>
          <w:szCs w:val="24"/>
          <w:rtl/>
        </w:rPr>
        <w:t xml:space="preserve">התרחבות השימוש בטלפון הסלולרי </w:t>
      </w:r>
      <w:r>
        <w:rPr>
          <w:rFonts w:cs="David" w:hint="cs"/>
          <w:color w:val="17365D"/>
          <w:sz w:val="24"/>
          <w:szCs w:val="24"/>
          <w:rtl/>
        </w:rPr>
        <w:t xml:space="preserve">גם </w:t>
      </w:r>
      <w:r w:rsidR="00B7287B">
        <w:rPr>
          <w:rFonts w:cs="David" w:hint="cs"/>
          <w:color w:val="17365D"/>
          <w:sz w:val="24"/>
          <w:szCs w:val="24"/>
          <w:rtl/>
        </w:rPr>
        <w:t xml:space="preserve">בקרב ילדים ובני נוער, </w:t>
      </w:r>
      <w:r w:rsidR="000B55C1" w:rsidRPr="000F1A0F">
        <w:rPr>
          <w:rFonts w:cs="David" w:hint="cs"/>
          <w:b/>
          <w:bCs/>
          <w:color w:val="17365D"/>
          <w:sz w:val="24"/>
          <w:szCs w:val="24"/>
          <w:rtl/>
        </w:rPr>
        <w:t>עוררה חששות לגבי השלכות בריאותיות אפשריות</w:t>
      </w:r>
      <w:r w:rsidR="00900072" w:rsidRPr="000F1A0F">
        <w:rPr>
          <w:rFonts w:cs="David" w:hint="cs"/>
          <w:b/>
          <w:bCs/>
          <w:color w:val="17365D"/>
          <w:sz w:val="24"/>
          <w:szCs w:val="24"/>
          <w:rtl/>
        </w:rPr>
        <w:t>, בעיקר בנוגע לגידולי מוח.</w:t>
      </w:r>
    </w:p>
    <w:p w:rsidR="00900072" w:rsidRDefault="00900072" w:rsidP="004C0534">
      <w:pPr>
        <w:spacing w:after="0"/>
        <w:ind w:left="43"/>
        <w:jc w:val="both"/>
        <w:rPr>
          <w:rFonts w:cs="David"/>
          <w:color w:val="17365D"/>
          <w:sz w:val="24"/>
          <w:szCs w:val="24"/>
          <w:rtl/>
        </w:rPr>
      </w:pPr>
      <w:r>
        <w:rPr>
          <w:rFonts w:cs="David" w:hint="cs"/>
          <w:color w:val="17365D"/>
          <w:sz w:val="24"/>
          <w:szCs w:val="24"/>
          <w:rtl/>
        </w:rPr>
        <w:t xml:space="preserve">גידולים </w:t>
      </w:r>
      <w:r w:rsidRPr="00900072">
        <w:rPr>
          <w:rFonts w:cs="David" w:hint="cs"/>
          <w:b/>
          <w:bCs/>
          <w:color w:val="17365D"/>
          <w:sz w:val="24"/>
          <w:szCs w:val="24"/>
          <w:rtl/>
        </w:rPr>
        <w:t>ראשוניים</w:t>
      </w:r>
      <w:r>
        <w:rPr>
          <w:rFonts w:cs="David" w:hint="cs"/>
          <w:color w:val="17365D"/>
          <w:sz w:val="24"/>
          <w:szCs w:val="24"/>
          <w:rtl/>
        </w:rPr>
        <w:t xml:space="preserve"> במח ובמערכת העצבים המרכזית מייצגים גדילה בלתי מבוקרת של תאים </w:t>
      </w:r>
      <w:r w:rsidR="00BE5E11">
        <w:rPr>
          <w:rFonts w:cs="David" w:hint="cs"/>
          <w:color w:val="17365D"/>
          <w:sz w:val="24"/>
          <w:szCs w:val="24"/>
          <w:rtl/>
        </w:rPr>
        <w:t xml:space="preserve">שמקורם </w:t>
      </w:r>
      <w:r w:rsidR="001A6CEA">
        <w:rPr>
          <w:rFonts w:cs="David" w:hint="cs"/>
          <w:color w:val="17365D"/>
          <w:sz w:val="24"/>
          <w:szCs w:val="24"/>
          <w:rtl/>
        </w:rPr>
        <w:t>בתאי העצב</w:t>
      </w:r>
      <w:r w:rsidR="00BE5E11">
        <w:rPr>
          <w:rFonts w:cs="David" w:hint="cs"/>
          <w:color w:val="17365D"/>
          <w:sz w:val="24"/>
          <w:szCs w:val="24"/>
          <w:rtl/>
        </w:rPr>
        <w:t>,</w:t>
      </w:r>
      <w:r w:rsidR="001A6CEA">
        <w:rPr>
          <w:rFonts w:cs="David" w:hint="cs"/>
          <w:color w:val="17365D"/>
          <w:sz w:val="24"/>
          <w:szCs w:val="24"/>
          <w:rtl/>
        </w:rPr>
        <w:t xml:space="preserve"> </w:t>
      </w:r>
      <w:r w:rsidR="00BE5E11">
        <w:rPr>
          <w:rFonts w:cs="David" w:hint="cs"/>
          <w:color w:val="17365D"/>
          <w:sz w:val="24"/>
          <w:szCs w:val="24"/>
          <w:rtl/>
        </w:rPr>
        <w:t xml:space="preserve">קרומי המח או תאי התמך של </w:t>
      </w:r>
      <w:r w:rsidR="001A6CEA">
        <w:rPr>
          <w:rFonts w:cs="David" w:hint="cs"/>
          <w:color w:val="17365D"/>
          <w:sz w:val="24"/>
          <w:szCs w:val="24"/>
          <w:rtl/>
        </w:rPr>
        <w:t xml:space="preserve">רקמת </w:t>
      </w:r>
      <w:r w:rsidR="00BE5E11">
        <w:rPr>
          <w:rFonts w:cs="David" w:hint="cs"/>
          <w:color w:val="17365D"/>
          <w:sz w:val="24"/>
          <w:szCs w:val="24"/>
          <w:rtl/>
        </w:rPr>
        <w:t>המוח</w:t>
      </w:r>
      <w:r w:rsidR="001A6CEA">
        <w:rPr>
          <w:rFonts w:cs="David" w:hint="cs"/>
          <w:color w:val="17365D"/>
          <w:sz w:val="24"/>
          <w:szCs w:val="24"/>
          <w:rtl/>
        </w:rPr>
        <w:t>/מערכת העצבים המרכזית</w:t>
      </w:r>
      <w:r w:rsidR="00BE5E11">
        <w:rPr>
          <w:rFonts w:cs="David" w:hint="cs"/>
          <w:color w:val="17365D"/>
          <w:sz w:val="24"/>
          <w:szCs w:val="24"/>
          <w:rtl/>
        </w:rPr>
        <w:t xml:space="preserve">. הגידולים יכולים להיות שפירים (אינם סרטניים ולא שולחים גרורות לאברים מרוחקים אבל בשל מיקומם בקופסת הגולגולת הגרמית, מייצרים לחץ על רקמות סמוכות ובשל כך </w:t>
      </w:r>
      <w:proofErr w:type="spellStart"/>
      <w:r w:rsidR="00BE5E11">
        <w:rPr>
          <w:rFonts w:cs="David" w:hint="cs"/>
          <w:color w:val="17365D"/>
          <w:sz w:val="24"/>
          <w:szCs w:val="24"/>
          <w:rtl/>
        </w:rPr>
        <w:t>מסכני</w:t>
      </w:r>
      <w:proofErr w:type="spellEnd"/>
      <w:r w:rsidR="00BE5E11">
        <w:rPr>
          <w:rFonts w:cs="David" w:hint="cs"/>
          <w:color w:val="17365D"/>
          <w:sz w:val="24"/>
          <w:szCs w:val="24"/>
          <w:rtl/>
        </w:rPr>
        <w:t xml:space="preserve"> חיים)</w:t>
      </w:r>
      <w:r w:rsidR="004C0534">
        <w:rPr>
          <w:rFonts w:cs="David" w:hint="cs"/>
          <w:color w:val="17365D"/>
          <w:sz w:val="24"/>
          <w:szCs w:val="24"/>
          <w:rtl/>
        </w:rPr>
        <w:t xml:space="preserve">; </w:t>
      </w:r>
      <w:r w:rsidR="00BE5E11">
        <w:rPr>
          <w:rFonts w:cs="David" w:hint="cs"/>
          <w:color w:val="17365D"/>
          <w:sz w:val="24"/>
          <w:szCs w:val="24"/>
          <w:rtl/>
        </w:rPr>
        <w:t>ממאירים (סרטניים, בעלי פוטנציאל לשליחת גרורות מרוחקות</w:t>
      </w:r>
      <w:r w:rsidR="003778A6">
        <w:rPr>
          <w:rFonts w:cs="David" w:hint="cs"/>
          <w:color w:val="17365D"/>
          <w:sz w:val="24"/>
          <w:szCs w:val="24"/>
          <w:rtl/>
        </w:rPr>
        <w:t xml:space="preserve"> בנוסף לייצור לחץ מקומי</w:t>
      </w:r>
      <w:r w:rsidR="00BE5E11">
        <w:rPr>
          <w:rFonts w:cs="David" w:hint="cs"/>
          <w:color w:val="17365D"/>
          <w:sz w:val="24"/>
          <w:szCs w:val="24"/>
          <w:rtl/>
        </w:rPr>
        <w:t>)</w:t>
      </w:r>
      <w:r w:rsidR="004C0534">
        <w:rPr>
          <w:rFonts w:cs="David" w:hint="cs"/>
          <w:color w:val="17365D"/>
          <w:sz w:val="24"/>
          <w:szCs w:val="24"/>
          <w:rtl/>
        </w:rPr>
        <w:t>; או בעלי התנהגות לא ברורה</w:t>
      </w:r>
      <w:r w:rsidR="00BE5E11">
        <w:rPr>
          <w:rFonts w:cs="David" w:hint="cs"/>
          <w:color w:val="17365D"/>
          <w:sz w:val="24"/>
          <w:szCs w:val="24"/>
          <w:rtl/>
        </w:rPr>
        <w:t>. גידולי מח מסווגים גם לפי ה</w:t>
      </w:r>
      <w:r w:rsidR="003778A6">
        <w:rPr>
          <w:rFonts w:cs="David" w:hint="cs"/>
          <w:color w:val="17365D"/>
          <w:sz w:val="24"/>
          <w:szCs w:val="24"/>
          <w:rtl/>
        </w:rPr>
        <w:t>מקור התאי - ה</w:t>
      </w:r>
      <w:r w:rsidR="00BE5E11">
        <w:rPr>
          <w:rFonts w:cs="David" w:hint="cs"/>
          <w:color w:val="17365D"/>
          <w:sz w:val="24"/>
          <w:szCs w:val="24"/>
          <w:rtl/>
        </w:rPr>
        <w:t xml:space="preserve">היסטולוגיה </w:t>
      </w:r>
      <w:r w:rsidR="003778A6">
        <w:rPr>
          <w:rFonts w:cs="David" w:hint="cs"/>
          <w:color w:val="17365D"/>
          <w:sz w:val="24"/>
          <w:szCs w:val="24"/>
          <w:rtl/>
        </w:rPr>
        <w:t xml:space="preserve">- </w:t>
      </w:r>
      <w:r w:rsidR="00BE5E11">
        <w:rPr>
          <w:rFonts w:cs="David" w:hint="cs"/>
          <w:color w:val="17365D"/>
          <w:sz w:val="24"/>
          <w:szCs w:val="24"/>
          <w:rtl/>
        </w:rPr>
        <w:t xml:space="preserve">שלהם: גידולים </w:t>
      </w:r>
      <w:r w:rsidR="003778A6">
        <w:rPr>
          <w:rFonts w:cs="David" w:hint="cs"/>
          <w:color w:val="17365D"/>
          <w:sz w:val="24"/>
          <w:szCs w:val="24"/>
          <w:rtl/>
        </w:rPr>
        <w:t xml:space="preserve">ממקור </w:t>
      </w:r>
      <w:r w:rsidR="00BE5E11">
        <w:rPr>
          <w:rFonts w:cs="David" w:hint="cs"/>
          <w:color w:val="17365D"/>
          <w:sz w:val="24"/>
          <w:szCs w:val="24"/>
          <w:rtl/>
        </w:rPr>
        <w:t>תאי גליה (תאי תמך של הרקמה העצבית) הם השכיחים ביותר וכוללים אסטרוציטומות</w:t>
      </w:r>
      <w:r w:rsidR="003778A6">
        <w:rPr>
          <w:rFonts w:cs="David" w:hint="cs"/>
          <w:color w:val="17365D"/>
          <w:sz w:val="24"/>
          <w:szCs w:val="24"/>
          <w:rtl/>
        </w:rPr>
        <w:t xml:space="preserve"> (בכלל אלה, גליובלסטומה היא צורה ממאירה במיוחד של אסטרוציטומה)</w:t>
      </w:r>
      <w:r w:rsidR="00BE5E11">
        <w:rPr>
          <w:rFonts w:cs="David" w:hint="cs"/>
          <w:color w:val="17365D"/>
          <w:sz w:val="24"/>
          <w:szCs w:val="24"/>
          <w:rtl/>
        </w:rPr>
        <w:t xml:space="preserve">, </w:t>
      </w:r>
      <w:r w:rsidR="003778A6">
        <w:rPr>
          <w:rFonts w:cs="David" w:hint="cs"/>
          <w:color w:val="17365D"/>
          <w:sz w:val="24"/>
          <w:szCs w:val="24"/>
          <w:rtl/>
        </w:rPr>
        <w:t>אוליגודנדרוגליומות,</w:t>
      </w:r>
      <w:r w:rsidR="00BE5E11">
        <w:rPr>
          <w:rFonts w:cs="David" w:hint="cs"/>
          <w:color w:val="17365D"/>
          <w:sz w:val="24"/>
          <w:szCs w:val="24"/>
          <w:rtl/>
        </w:rPr>
        <w:t xml:space="preserve"> גליומות אחרות; גידולים שמקורם בקרומי המח (מנינגיומות); גידולים שמקורם בתאי העצבים במח (נוירומות); </w:t>
      </w:r>
      <w:r w:rsidR="003778A6">
        <w:rPr>
          <w:rFonts w:cs="David" w:hint="cs"/>
          <w:color w:val="17365D"/>
          <w:sz w:val="24"/>
          <w:szCs w:val="24"/>
          <w:rtl/>
        </w:rPr>
        <w:t>ועוד. כל אחד מסוגי גידולים אלה יכול להיות גידול שפיר, גידול בעל התנהגות לא ברורה, גידול בדרגת ממאירות נמוכה או גידול בדרגת ממאירות גבוהה. עם זאת, רוב המנינגיומות הן גידולים שפירים בעוד שרוב הגליומות הן גידולים ממאירים.</w:t>
      </w:r>
    </w:p>
    <w:p w:rsidR="009D38C5" w:rsidRPr="000F1A0F" w:rsidRDefault="00282A28" w:rsidP="005739A6">
      <w:pPr>
        <w:spacing w:after="0"/>
        <w:ind w:left="43"/>
        <w:jc w:val="both"/>
        <w:rPr>
          <w:rFonts w:cs="David"/>
          <w:b/>
          <w:bCs/>
          <w:color w:val="17365D"/>
          <w:sz w:val="24"/>
          <w:szCs w:val="24"/>
          <w:rtl/>
        </w:rPr>
      </w:pPr>
      <w:r w:rsidRPr="000F1A0F">
        <w:rPr>
          <w:rFonts w:cs="David" w:hint="cs"/>
          <w:b/>
          <w:bCs/>
          <w:color w:val="17365D"/>
          <w:sz w:val="24"/>
          <w:szCs w:val="24"/>
          <w:rtl/>
        </w:rPr>
        <w:t xml:space="preserve">מחקרים </w:t>
      </w:r>
      <w:r w:rsidR="00A30019" w:rsidRPr="000F1A0F">
        <w:rPr>
          <w:rFonts w:cs="David" w:hint="cs"/>
          <w:b/>
          <w:bCs/>
          <w:color w:val="17365D"/>
          <w:sz w:val="24"/>
          <w:szCs w:val="24"/>
          <w:rtl/>
        </w:rPr>
        <w:t xml:space="preserve">בסיסיים </w:t>
      </w:r>
      <w:r w:rsidRPr="000F1A0F">
        <w:rPr>
          <w:rFonts w:cs="David" w:hint="cs"/>
          <w:b/>
          <w:bCs/>
          <w:color w:val="17365D"/>
          <w:sz w:val="24"/>
          <w:szCs w:val="24"/>
          <w:rtl/>
        </w:rPr>
        <w:t xml:space="preserve">שבחנו מנגנוני פעולה אפשריים </w:t>
      </w:r>
      <w:r w:rsidR="00900072" w:rsidRPr="000F1A0F">
        <w:rPr>
          <w:rFonts w:cs="David" w:hint="cs"/>
          <w:b/>
          <w:bCs/>
          <w:color w:val="17365D"/>
          <w:sz w:val="24"/>
          <w:szCs w:val="24"/>
          <w:rtl/>
        </w:rPr>
        <w:t xml:space="preserve">של קרינה בלתי מייננת </w:t>
      </w:r>
      <w:r w:rsidRPr="000F1A0F">
        <w:rPr>
          <w:rFonts w:cs="David" w:hint="cs"/>
          <w:b/>
          <w:bCs/>
          <w:color w:val="17365D"/>
          <w:sz w:val="24"/>
          <w:szCs w:val="24"/>
          <w:rtl/>
        </w:rPr>
        <w:t xml:space="preserve">העלו השערות </w:t>
      </w:r>
      <w:r w:rsidR="00A30019" w:rsidRPr="000F1A0F">
        <w:rPr>
          <w:rFonts w:cs="David" w:hint="cs"/>
          <w:b/>
          <w:bCs/>
          <w:color w:val="17365D"/>
          <w:sz w:val="24"/>
          <w:szCs w:val="24"/>
          <w:rtl/>
        </w:rPr>
        <w:t xml:space="preserve">לגבי </w:t>
      </w:r>
      <w:r w:rsidRPr="000F1A0F">
        <w:rPr>
          <w:rFonts w:cs="David" w:hint="cs"/>
          <w:b/>
          <w:bCs/>
          <w:color w:val="17365D"/>
          <w:sz w:val="24"/>
          <w:szCs w:val="24"/>
          <w:rtl/>
        </w:rPr>
        <w:t xml:space="preserve">נזק </w:t>
      </w:r>
      <w:r w:rsidR="00BE5E11" w:rsidRPr="000F1A0F">
        <w:rPr>
          <w:rFonts w:cs="David" w:hint="cs"/>
          <w:b/>
          <w:bCs/>
          <w:color w:val="17365D"/>
          <w:sz w:val="24"/>
          <w:szCs w:val="24"/>
          <w:rtl/>
        </w:rPr>
        <w:t>פוטנציאלי כתוצאה</w:t>
      </w:r>
      <w:r w:rsidRPr="000F1A0F">
        <w:rPr>
          <w:rFonts w:cs="David" w:hint="cs"/>
          <w:b/>
          <w:bCs/>
          <w:color w:val="17365D"/>
          <w:sz w:val="24"/>
          <w:szCs w:val="24"/>
          <w:rtl/>
        </w:rPr>
        <w:t xml:space="preserve"> מחימום הרקמות, מפגיעה במשק הסוכר א</w:t>
      </w:r>
      <w:r w:rsidR="00A30019" w:rsidRPr="000F1A0F">
        <w:rPr>
          <w:rFonts w:cs="David" w:hint="cs"/>
          <w:b/>
          <w:bCs/>
          <w:color w:val="17365D"/>
          <w:sz w:val="24"/>
          <w:szCs w:val="24"/>
          <w:rtl/>
        </w:rPr>
        <w:t>ו</w:t>
      </w:r>
      <w:r w:rsidRPr="000F1A0F">
        <w:rPr>
          <w:rFonts w:cs="David" w:hint="cs"/>
          <w:b/>
          <w:bCs/>
          <w:color w:val="17365D"/>
          <w:sz w:val="24"/>
          <w:szCs w:val="24"/>
          <w:rtl/>
        </w:rPr>
        <w:t xml:space="preserve"> בזרימת הדם האזורית אולם לא נמצאו </w:t>
      </w:r>
      <w:r w:rsidR="00900072" w:rsidRPr="000F1A0F">
        <w:rPr>
          <w:rFonts w:cs="David" w:hint="cs"/>
          <w:b/>
          <w:bCs/>
          <w:color w:val="17365D"/>
          <w:sz w:val="24"/>
          <w:szCs w:val="24"/>
          <w:rtl/>
        </w:rPr>
        <w:t xml:space="preserve">לכך </w:t>
      </w:r>
      <w:r w:rsidRPr="000F1A0F">
        <w:rPr>
          <w:rFonts w:cs="David" w:hint="cs"/>
          <w:b/>
          <w:bCs/>
          <w:color w:val="17365D"/>
          <w:sz w:val="24"/>
          <w:szCs w:val="24"/>
          <w:rtl/>
        </w:rPr>
        <w:t>סימוכין</w:t>
      </w:r>
      <w:r>
        <w:rPr>
          <w:rFonts w:cs="David" w:hint="cs"/>
          <w:color w:val="17365D"/>
          <w:sz w:val="24"/>
          <w:szCs w:val="24"/>
          <w:rtl/>
        </w:rPr>
        <w:t xml:space="preserve">. מחקרים אפידמיולוגיים </w:t>
      </w:r>
      <w:r w:rsidR="00A30019">
        <w:rPr>
          <w:rFonts w:cs="David" w:hint="cs"/>
          <w:color w:val="17365D"/>
          <w:sz w:val="24"/>
          <w:szCs w:val="24"/>
          <w:rtl/>
        </w:rPr>
        <w:t>ש</w:t>
      </w:r>
      <w:r>
        <w:rPr>
          <w:rFonts w:cs="David" w:hint="cs"/>
          <w:color w:val="17365D"/>
          <w:sz w:val="24"/>
          <w:szCs w:val="24"/>
          <w:rtl/>
        </w:rPr>
        <w:t>בחנו את הקשר בין שימוש במכשירי טלפון ניידים לבין גידולים במח ובמערכת העצבים המרכזית</w:t>
      </w:r>
      <w:r w:rsidR="001A6CEA">
        <w:rPr>
          <w:rFonts w:cs="David" w:hint="cs"/>
          <w:color w:val="17365D"/>
          <w:sz w:val="24"/>
          <w:szCs w:val="24"/>
          <w:rtl/>
        </w:rPr>
        <w:t xml:space="preserve"> בבני אדם</w:t>
      </w:r>
      <w:r w:rsidR="00A30019">
        <w:rPr>
          <w:rFonts w:cs="David" w:hint="cs"/>
          <w:color w:val="17365D"/>
          <w:sz w:val="24"/>
          <w:szCs w:val="24"/>
          <w:rtl/>
        </w:rPr>
        <w:t xml:space="preserve"> נאלצו להתמודד עם אתגרים מתודולוגיים קשים כמו </w:t>
      </w:r>
      <w:r>
        <w:rPr>
          <w:rFonts w:cs="David" w:hint="cs"/>
          <w:color w:val="17365D"/>
          <w:sz w:val="24"/>
          <w:szCs w:val="24"/>
          <w:rtl/>
        </w:rPr>
        <w:t>כימות החשיפה (מידת השימוש בטלפון הסלולרי</w:t>
      </w:r>
      <w:r w:rsidR="00900072">
        <w:rPr>
          <w:rFonts w:cs="David" w:hint="cs"/>
          <w:color w:val="17365D"/>
          <w:sz w:val="24"/>
          <w:szCs w:val="24"/>
          <w:rtl/>
        </w:rPr>
        <w:t>, שמשתנה עם הזמן</w:t>
      </w:r>
      <w:r>
        <w:rPr>
          <w:rFonts w:cs="David" w:hint="cs"/>
          <w:color w:val="17365D"/>
          <w:sz w:val="24"/>
          <w:szCs w:val="24"/>
          <w:rtl/>
        </w:rPr>
        <w:t>) ש</w:t>
      </w:r>
      <w:r w:rsidR="00900072">
        <w:rPr>
          <w:rFonts w:cs="David" w:hint="cs"/>
          <w:color w:val="17365D"/>
          <w:sz w:val="24"/>
          <w:szCs w:val="24"/>
          <w:rtl/>
        </w:rPr>
        <w:t xml:space="preserve">התבססה </w:t>
      </w:r>
      <w:r w:rsidR="00D952C8">
        <w:rPr>
          <w:rFonts w:cs="David" w:hint="cs"/>
          <w:color w:val="17365D"/>
          <w:sz w:val="24"/>
          <w:szCs w:val="24"/>
          <w:rtl/>
        </w:rPr>
        <w:t>לעתים קרובות על דיווח עצמי</w:t>
      </w:r>
      <w:r w:rsidR="00A30019">
        <w:rPr>
          <w:rFonts w:cs="David" w:hint="cs"/>
          <w:color w:val="17365D"/>
          <w:sz w:val="24"/>
          <w:szCs w:val="24"/>
          <w:rtl/>
        </w:rPr>
        <w:t>, ו</w:t>
      </w:r>
      <w:r>
        <w:rPr>
          <w:rFonts w:cs="David" w:hint="cs"/>
          <w:color w:val="17365D"/>
          <w:sz w:val="24"/>
          <w:szCs w:val="24"/>
          <w:rtl/>
        </w:rPr>
        <w:t>תקופת חביון ארוכה של</w:t>
      </w:r>
      <w:r w:rsidR="00A30019">
        <w:rPr>
          <w:rFonts w:cs="David" w:hint="cs"/>
          <w:color w:val="17365D"/>
          <w:sz w:val="24"/>
          <w:szCs w:val="24"/>
          <w:rtl/>
        </w:rPr>
        <w:t xml:space="preserve"> </w:t>
      </w:r>
      <w:r>
        <w:rPr>
          <w:rFonts w:cs="David" w:hint="cs"/>
          <w:color w:val="17365D"/>
          <w:sz w:val="24"/>
          <w:szCs w:val="24"/>
          <w:rtl/>
        </w:rPr>
        <w:t>מחלות גידוליות (בין מספר שנים למספר עשורים)</w:t>
      </w:r>
      <w:r w:rsidR="00900072">
        <w:rPr>
          <w:rFonts w:cs="David" w:hint="cs"/>
          <w:color w:val="17365D"/>
          <w:sz w:val="24"/>
          <w:szCs w:val="24"/>
          <w:rtl/>
        </w:rPr>
        <w:t>, שמקשה על זיהוי קשר סיבתי</w:t>
      </w:r>
      <w:r w:rsidR="00A30019">
        <w:rPr>
          <w:rStyle w:val="ac"/>
          <w:rFonts w:cs="David"/>
          <w:color w:val="17365D"/>
          <w:sz w:val="24"/>
          <w:szCs w:val="24"/>
          <w:rtl/>
        </w:rPr>
        <w:footnoteReference w:id="4"/>
      </w:r>
      <w:r>
        <w:rPr>
          <w:rFonts w:cs="David" w:hint="cs"/>
          <w:color w:val="17365D"/>
          <w:sz w:val="24"/>
          <w:szCs w:val="24"/>
          <w:rtl/>
        </w:rPr>
        <w:t xml:space="preserve">. </w:t>
      </w:r>
      <w:r w:rsidR="00A30019" w:rsidRPr="000F1A0F">
        <w:rPr>
          <w:rFonts w:cs="David" w:hint="cs"/>
          <w:b/>
          <w:bCs/>
          <w:color w:val="17365D"/>
          <w:sz w:val="24"/>
          <w:szCs w:val="24"/>
          <w:rtl/>
        </w:rPr>
        <w:t>בשל אתגרים מתודולוגיים אלה ואחרים, תוצאות המחקרים עד כה אינן עקביות</w:t>
      </w:r>
      <w:r w:rsidR="00D952C8" w:rsidRPr="000F1A0F">
        <w:rPr>
          <w:rFonts w:cs="David" w:hint="cs"/>
          <w:b/>
          <w:bCs/>
          <w:color w:val="17365D"/>
          <w:sz w:val="24"/>
          <w:szCs w:val="24"/>
          <w:rtl/>
        </w:rPr>
        <w:t>; ברובם לא נמצא עודף סיכון</w:t>
      </w:r>
      <w:r w:rsidR="001A6CEA" w:rsidRPr="000F1A0F">
        <w:rPr>
          <w:rFonts w:cs="David" w:hint="cs"/>
          <w:b/>
          <w:bCs/>
          <w:color w:val="17365D"/>
          <w:sz w:val="24"/>
          <w:szCs w:val="24"/>
          <w:rtl/>
        </w:rPr>
        <w:t>;</w:t>
      </w:r>
      <w:r w:rsidR="00D952C8" w:rsidRPr="000F1A0F">
        <w:rPr>
          <w:rFonts w:cs="David" w:hint="cs"/>
          <w:b/>
          <w:bCs/>
          <w:color w:val="17365D"/>
          <w:sz w:val="24"/>
          <w:szCs w:val="24"/>
          <w:rtl/>
        </w:rPr>
        <w:t xml:space="preserve"> אולם היו מחקרים שהצביעו על עודף בגידולי בלוטת הרוק, בגידולים על עצב השמע ובגליומות, בפרט במשתמשים הכבדים, ויותר בצד שבו נוטה המשתמש לאחוז בטלפון.</w:t>
      </w:r>
      <w:r w:rsidR="00D952C8">
        <w:rPr>
          <w:rFonts w:cs="David" w:hint="cs"/>
          <w:color w:val="17365D"/>
          <w:sz w:val="24"/>
          <w:szCs w:val="24"/>
          <w:rtl/>
        </w:rPr>
        <w:t xml:space="preserve"> </w:t>
      </w:r>
      <w:r w:rsidR="003778A6">
        <w:rPr>
          <w:rFonts w:cs="David" w:hint="cs"/>
          <w:color w:val="17365D"/>
          <w:sz w:val="24"/>
          <w:szCs w:val="24"/>
          <w:rtl/>
        </w:rPr>
        <w:t xml:space="preserve">למרות הממצאים הסותרים, </w:t>
      </w:r>
      <w:r w:rsidR="00D952C8" w:rsidRPr="000F1A0F">
        <w:rPr>
          <w:rFonts w:cs="David" w:hint="cs"/>
          <w:b/>
          <w:bCs/>
          <w:color w:val="17365D"/>
          <w:sz w:val="24"/>
          <w:szCs w:val="24"/>
          <w:rtl/>
        </w:rPr>
        <w:t xml:space="preserve">הגדירה </w:t>
      </w:r>
      <w:r w:rsidR="00A30019" w:rsidRPr="000F1A0F">
        <w:rPr>
          <w:rFonts w:cs="David" w:hint="cs"/>
          <w:b/>
          <w:bCs/>
          <w:color w:val="17365D"/>
          <w:sz w:val="24"/>
          <w:szCs w:val="24"/>
          <w:rtl/>
        </w:rPr>
        <w:t xml:space="preserve">הסוכנות הבינלאומית לחקר הסרטן </w:t>
      </w:r>
      <w:r w:rsidR="00A30019" w:rsidRPr="000F1A0F">
        <w:rPr>
          <w:rFonts w:cs="David"/>
          <w:b/>
          <w:bCs/>
          <w:color w:val="17365D"/>
          <w:sz w:val="24"/>
          <w:szCs w:val="24"/>
        </w:rPr>
        <w:t>(IARC)</w:t>
      </w:r>
      <w:r w:rsidR="00A30019" w:rsidRPr="000F1A0F">
        <w:rPr>
          <w:rFonts w:cs="David" w:hint="cs"/>
          <w:b/>
          <w:bCs/>
          <w:color w:val="17365D"/>
          <w:sz w:val="24"/>
          <w:szCs w:val="24"/>
          <w:rtl/>
        </w:rPr>
        <w:t xml:space="preserve"> של ארגון הבריאות העולמי </w:t>
      </w:r>
      <w:r w:rsidR="003778A6" w:rsidRPr="000F1A0F">
        <w:rPr>
          <w:rFonts w:cs="David" w:hint="cs"/>
          <w:b/>
          <w:bCs/>
          <w:color w:val="17365D"/>
          <w:sz w:val="24"/>
          <w:szCs w:val="24"/>
          <w:rtl/>
        </w:rPr>
        <w:t xml:space="preserve">בשנת 2011 </w:t>
      </w:r>
      <w:r w:rsidR="00A30019" w:rsidRPr="000F1A0F">
        <w:rPr>
          <w:rFonts w:cs="David" w:hint="cs"/>
          <w:b/>
          <w:bCs/>
          <w:color w:val="17365D"/>
          <w:sz w:val="24"/>
          <w:szCs w:val="24"/>
          <w:rtl/>
        </w:rPr>
        <w:t>את השימוש בטלפון סלולרי כ"גורם מסרטן אפשרי בבני אדם"</w:t>
      </w:r>
      <w:r w:rsidR="00A30019">
        <w:rPr>
          <w:rFonts w:cs="David" w:hint="cs"/>
          <w:color w:val="17365D"/>
          <w:sz w:val="24"/>
          <w:szCs w:val="24"/>
          <w:rtl/>
        </w:rPr>
        <w:t xml:space="preserve"> (קטגוריה </w:t>
      </w:r>
      <w:r w:rsidR="00A30019">
        <w:rPr>
          <w:rFonts w:cs="David"/>
          <w:color w:val="17365D"/>
          <w:sz w:val="24"/>
          <w:szCs w:val="24"/>
        </w:rPr>
        <w:t>2B</w:t>
      </w:r>
      <w:r w:rsidR="00A30019">
        <w:rPr>
          <w:rFonts w:cs="David" w:hint="cs"/>
          <w:color w:val="17365D"/>
          <w:sz w:val="24"/>
          <w:szCs w:val="24"/>
          <w:rtl/>
        </w:rPr>
        <w:t xml:space="preserve">, </w:t>
      </w:r>
      <w:r w:rsidR="00A30019">
        <w:rPr>
          <w:rFonts w:cs="David"/>
          <w:color w:val="17365D"/>
          <w:sz w:val="24"/>
          <w:szCs w:val="24"/>
        </w:rPr>
        <w:t>possibly carcinogenic to humans</w:t>
      </w:r>
      <w:r w:rsidR="00A30019">
        <w:rPr>
          <w:rFonts w:cs="David" w:hint="cs"/>
          <w:color w:val="17365D"/>
          <w:sz w:val="24"/>
          <w:szCs w:val="24"/>
          <w:rtl/>
        </w:rPr>
        <w:t xml:space="preserve">) </w:t>
      </w:r>
      <w:r w:rsidR="00A30019" w:rsidRPr="000F1A0F">
        <w:rPr>
          <w:rFonts w:cs="David" w:hint="cs"/>
          <w:b/>
          <w:bCs/>
          <w:color w:val="17365D"/>
          <w:sz w:val="24"/>
          <w:szCs w:val="24"/>
          <w:rtl/>
        </w:rPr>
        <w:t>והמליצה על נקיטת אמצע</w:t>
      </w:r>
      <w:r w:rsidR="005739A6" w:rsidRPr="000F1A0F">
        <w:rPr>
          <w:rFonts w:cs="David" w:hint="cs"/>
          <w:b/>
          <w:bCs/>
          <w:color w:val="17365D"/>
          <w:sz w:val="24"/>
          <w:szCs w:val="24"/>
          <w:rtl/>
        </w:rPr>
        <w:t>ים פרו-אקטיביים להפחתת הסיכון (עקרון ה</w:t>
      </w:r>
      <w:r w:rsidR="00A30019" w:rsidRPr="000F1A0F">
        <w:rPr>
          <w:rFonts w:cs="David" w:hint="cs"/>
          <w:b/>
          <w:bCs/>
          <w:color w:val="17365D"/>
          <w:sz w:val="24"/>
          <w:szCs w:val="24"/>
          <w:rtl/>
        </w:rPr>
        <w:t xml:space="preserve">זהירות </w:t>
      </w:r>
      <w:r w:rsidR="005739A6" w:rsidRPr="000F1A0F">
        <w:rPr>
          <w:rFonts w:cs="David" w:hint="cs"/>
          <w:b/>
          <w:bCs/>
          <w:color w:val="17365D"/>
          <w:sz w:val="24"/>
          <w:szCs w:val="24"/>
          <w:rtl/>
        </w:rPr>
        <w:t>ה</w:t>
      </w:r>
      <w:r w:rsidR="00A30019" w:rsidRPr="000F1A0F">
        <w:rPr>
          <w:rFonts w:cs="David" w:hint="cs"/>
          <w:b/>
          <w:bCs/>
          <w:color w:val="17365D"/>
          <w:sz w:val="24"/>
          <w:szCs w:val="24"/>
          <w:rtl/>
        </w:rPr>
        <w:t>מונעת).</w:t>
      </w:r>
      <w:r w:rsidR="00D952C8" w:rsidRPr="000F1A0F">
        <w:rPr>
          <w:rFonts w:cs="David" w:hint="cs"/>
          <w:b/>
          <w:bCs/>
          <w:color w:val="17365D"/>
          <w:sz w:val="24"/>
          <w:szCs w:val="24"/>
          <w:rtl/>
        </w:rPr>
        <w:t xml:space="preserve"> </w:t>
      </w:r>
    </w:p>
    <w:p w:rsidR="009D38C5" w:rsidRPr="009D38C5" w:rsidRDefault="00A30019" w:rsidP="009D38C5">
      <w:pPr>
        <w:spacing w:after="0"/>
        <w:ind w:left="43"/>
        <w:jc w:val="both"/>
        <w:rPr>
          <w:rFonts w:cs="David"/>
          <w:color w:val="17365D"/>
          <w:sz w:val="24"/>
          <w:szCs w:val="24"/>
          <w:rtl/>
        </w:rPr>
      </w:pPr>
      <w:r w:rsidRPr="009479CF">
        <w:rPr>
          <w:rFonts w:cs="David" w:hint="cs"/>
          <w:color w:val="17365D"/>
          <w:sz w:val="24"/>
          <w:szCs w:val="24"/>
          <w:rtl/>
        </w:rPr>
        <w:t>בישראל</w:t>
      </w:r>
      <w:r w:rsidR="003778A6" w:rsidRPr="009479CF">
        <w:rPr>
          <w:rFonts w:cs="David" w:hint="cs"/>
          <w:color w:val="17365D"/>
          <w:sz w:val="24"/>
          <w:szCs w:val="24"/>
          <w:rtl/>
        </w:rPr>
        <w:t xml:space="preserve"> </w:t>
      </w:r>
      <w:r w:rsidR="009479CF">
        <w:rPr>
          <w:rFonts w:cs="David" w:hint="cs"/>
          <w:color w:val="17365D"/>
          <w:sz w:val="24"/>
          <w:szCs w:val="24"/>
          <w:rtl/>
        </w:rPr>
        <w:t xml:space="preserve">ממליץ משרד הבריאות </w:t>
      </w:r>
      <w:r w:rsidR="009479CF" w:rsidRPr="000F1A0F">
        <w:rPr>
          <w:rFonts w:cs="David" w:hint="cs"/>
          <w:b/>
          <w:bCs/>
          <w:color w:val="17365D"/>
          <w:sz w:val="24"/>
          <w:szCs w:val="24"/>
          <w:rtl/>
        </w:rPr>
        <w:t>להרחיק את הטלפון הנייד מהגוף בעת השימוש</w:t>
      </w:r>
      <w:r w:rsidR="009479CF">
        <w:rPr>
          <w:rFonts w:cs="David" w:hint="cs"/>
          <w:color w:val="17365D"/>
          <w:sz w:val="24"/>
          <w:szCs w:val="24"/>
          <w:rtl/>
        </w:rPr>
        <w:t xml:space="preserve"> (באמצעות דיבורית </w:t>
      </w:r>
      <w:r w:rsidR="009479CF" w:rsidRPr="000F1A0F">
        <w:rPr>
          <w:rFonts w:cs="David" w:hint="cs"/>
          <w:b/>
          <w:bCs/>
          <w:color w:val="17365D"/>
          <w:sz w:val="24"/>
          <w:szCs w:val="24"/>
          <w:rtl/>
        </w:rPr>
        <w:t>אישית או אוזנייה שאינה אלחוטית); להימנע משימוש במכשיר באזורים בהם הקליטה חלשה או ממוסכת; ולהקפיד מאוד על כללים אלה בילדים ובבני נוער</w:t>
      </w:r>
      <w:r w:rsidR="009479CF">
        <w:rPr>
          <w:rFonts w:cs="David" w:hint="cs"/>
          <w:color w:val="17365D"/>
          <w:sz w:val="24"/>
          <w:szCs w:val="24"/>
          <w:rtl/>
        </w:rPr>
        <w:t xml:space="preserve">. בנוסף מומלץ  להמעיט בשימוש במכשיר בעת נהיגה ובכל מקרה להשתמש בהתקן מיוחד שלא כולל מגע בטלפון בעת השיחה. </w:t>
      </w:r>
      <w:r w:rsidR="009D38C5">
        <w:rPr>
          <w:rFonts w:cs="David" w:hint="cs"/>
          <w:color w:val="17365D"/>
          <w:sz w:val="24"/>
          <w:szCs w:val="24"/>
          <w:rtl/>
        </w:rPr>
        <w:t xml:space="preserve">בנוסף, </w:t>
      </w:r>
      <w:r w:rsidR="009479CF">
        <w:rPr>
          <w:rFonts w:cs="David" w:hint="cs"/>
          <w:color w:val="17365D"/>
          <w:sz w:val="24"/>
          <w:szCs w:val="24"/>
          <w:rtl/>
        </w:rPr>
        <w:t xml:space="preserve">בעקבות החלטת וועדת השרים לענייני מדע וטכנולוגיה בשנת 2004, הוקם צוות בדיקה מקצועי שבחן את הצורך להקים מרכז ידע לאומי לחקר הקרינה הבלתי מייננת והשפעתה על הציבור, והמליץ ליישם זאת. בשנת 2013 הוקם </w:t>
      </w:r>
      <w:r w:rsidR="009D38C5">
        <w:rPr>
          <w:rFonts w:cs="David" w:hint="cs"/>
          <w:color w:val="17365D"/>
          <w:sz w:val="24"/>
          <w:szCs w:val="24"/>
          <w:rtl/>
        </w:rPr>
        <w:t xml:space="preserve">במרשתת </w:t>
      </w:r>
      <w:r w:rsidR="009479CF">
        <w:rPr>
          <w:rFonts w:cs="David" w:hint="cs"/>
          <w:color w:val="17365D"/>
          <w:sz w:val="24"/>
          <w:szCs w:val="24"/>
          <w:rtl/>
        </w:rPr>
        <w:t xml:space="preserve">אתר </w:t>
      </w:r>
      <w:r w:rsidR="005739A6">
        <w:rPr>
          <w:rFonts w:cs="David" w:hint="cs"/>
          <w:color w:val="17365D"/>
          <w:sz w:val="24"/>
          <w:szCs w:val="24"/>
          <w:rtl/>
        </w:rPr>
        <w:t>"</w:t>
      </w:r>
      <w:proofErr w:type="spellStart"/>
      <w:r w:rsidR="009479CF">
        <w:rPr>
          <w:rFonts w:cs="David" w:hint="cs"/>
          <w:color w:val="17365D"/>
          <w:sz w:val="24"/>
          <w:szCs w:val="24"/>
          <w:rtl/>
        </w:rPr>
        <w:t>תנודע</w:t>
      </w:r>
      <w:proofErr w:type="spellEnd"/>
      <w:r w:rsidR="009479CF">
        <w:rPr>
          <w:rFonts w:cs="David" w:hint="cs"/>
          <w:color w:val="17365D"/>
          <w:sz w:val="24"/>
          <w:szCs w:val="24"/>
          <w:rtl/>
        </w:rPr>
        <w:t xml:space="preserve">" </w:t>
      </w:r>
      <w:r w:rsidR="009479CF">
        <w:rPr>
          <w:rFonts w:cs="David"/>
          <w:color w:val="17365D"/>
          <w:sz w:val="24"/>
          <w:szCs w:val="24"/>
        </w:rPr>
        <w:t>(</w:t>
      </w:r>
      <w:hyperlink r:id="rId10" w:history="1">
        <w:r w:rsidR="009479CF" w:rsidRPr="00FB6E25">
          <w:rPr>
            <w:rStyle w:val="Hyperlink"/>
            <w:rFonts w:cs="David"/>
            <w:sz w:val="24"/>
            <w:szCs w:val="24"/>
          </w:rPr>
          <w:t>www.tnuda.org.il</w:t>
        </w:r>
      </w:hyperlink>
      <w:r w:rsidR="009479CF">
        <w:rPr>
          <w:rFonts w:cs="David"/>
          <w:color w:val="17365D"/>
          <w:sz w:val="24"/>
          <w:szCs w:val="24"/>
        </w:rPr>
        <w:t>)</w:t>
      </w:r>
      <w:r w:rsidR="009D38C5">
        <w:rPr>
          <w:rFonts w:cs="David" w:hint="cs"/>
          <w:color w:val="17365D"/>
          <w:sz w:val="24"/>
          <w:szCs w:val="24"/>
          <w:rtl/>
        </w:rPr>
        <w:t>, שיעדיו הם ל</w:t>
      </w:r>
      <w:r w:rsidR="009D38C5" w:rsidRPr="009D38C5">
        <w:rPr>
          <w:rFonts w:cs="David" w:hint="cs"/>
          <w:color w:val="17365D"/>
          <w:sz w:val="24"/>
          <w:szCs w:val="24"/>
          <w:rtl/>
        </w:rPr>
        <w:t>הוות</w:t>
      </w:r>
      <w:r w:rsidR="009D38C5" w:rsidRPr="009D38C5">
        <w:rPr>
          <w:rFonts w:cs="David"/>
          <w:color w:val="17365D"/>
          <w:sz w:val="24"/>
          <w:szCs w:val="24"/>
          <w:rtl/>
        </w:rPr>
        <w:t xml:space="preserve"> </w:t>
      </w:r>
      <w:r w:rsidR="009D38C5" w:rsidRPr="009D38C5">
        <w:rPr>
          <w:rFonts w:cs="David" w:hint="cs"/>
          <w:color w:val="17365D"/>
          <w:sz w:val="24"/>
          <w:szCs w:val="24"/>
          <w:rtl/>
        </w:rPr>
        <w:t>מקור</w:t>
      </w:r>
      <w:r w:rsidR="009D38C5" w:rsidRPr="009D38C5">
        <w:rPr>
          <w:rFonts w:cs="David"/>
          <w:color w:val="17365D"/>
          <w:sz w:val="24"/>
          <w:szCs w:val="24"/>
          <w:rtl/>
        </w:rPr>
        <w:t xml:space="preserve"> </w:t>
      </w:r>
      <w:r w:rsidR="009D38C5" w:rsidRPr="009D38C5">
        <w:rPr>
          <w:rFonts w:cs="David" w:hint="cs"/>
          <w:color w:val="17365D"/>
          <w:sz w:val="24"/>
          <w:szCs w:val="24"/>
          <w:rtl/>
        </w:rPr>
        <w:t>ידע</w:t>
      </w:r>
      <w:r w:rsidR="009D38C5" w:rsidRPr="009D38C5">
        <w:rPr>
          <w:rFonts w:cs="David"/>
          <w:color w:val="17365D"/>
          <w:sz w:val="24"/>
          <w:szCs w:val="24"/>
          <w:rtl/>
        </w:rPr>
        <w:t xml:space="preserve"> </w:t>
      </w:r>
      <w:r w:rsidR="009D38C5" w:rsidRPr="009D38C5">
        <w:rPr>
          <w:rFonts w:cs="David" w:hint="cs"/>
          <w:color w:val="17365D"/>
          <w:sz w:val="24"/>
          <w:szCs w:val="24"/>
          <w:rtl/>
        </w:rPr>
        <w:t>מקצועי</w:t>
      </w:r>
      <w:r w:rsidR="009D38C5" w:rsidRPr="009D38C5">
        <w:rPr>
          <w:rFonts w:cs="David"/>
          <w:color w:val="17365D"/>
          <w:sz w:val="24"/>
          <w:szCs w:val="24"/>
          <w:rtl/>
        </w:rPr>
        <w:t xml:space="preserve"> </w:t>
      </w:r>
      <w:r w:rsidR="009D38C5" w:rsidRPr="009D38C5">
        <w:rPr>
          <w:rFonts w:cs="David" w:hint="cs"/>
          <w:color w:val="17365D"/>
          <w:sz w:val="24"/>
          <w:szCs w:val="24"/>
          <w:rtl/>
        </w:rPr>
        <w:t>ומוביל</w:t>
      </w:r>
      <w:r w:rsidR="009D38C5" w:rsidRPr="009D38C5">
        <w:rPr>
          <w:rFonts w:cs="David"/>
          <w:color w:val="17365D"/>
          <w:sz w:val="24"/>
          <w:szCs w:val="24"/>
          <w:rtl/>
        </w:rPr>
        <w:t xml:space="preserve"> </w:t>
      </w:r>
      <w:r w:rsidR="009D38C5" w:rsidRPr="009D38C5">
        <w:rPr>
          <w:rFonts w:cs="David" w:hint="cs"/>
          <w:color w:val="17365D"/>
          <w:sz w:val="24"/>
          <w:szCs w:val="24"/>
          <w:rtl/>
        </w:rPr>
        <w:t>בנושא</w:t>
      </w:r>
      <w:r w:rsidR="009D38C5" w:rsidRPr="009D38C5">
        <w:rPr>
          <w:rFonts w:cs="David"/>
          <w:color w:val="17365D"/>
          <w:sz w:val="24"/>
          <w:szCs w:val="24"/>
          <w:rtl/>
        </w:rPr>
        <w:t xml:space="preserve"> </w:t>
      </w:r>
      <w:r w:rsidR="009D38C5" w:rsidRPr="009D38C5">
        <w:rPr>
          <w:rFonts w:cs="David" w:hint="cs"/>
          <w:color w:val="17365D"/>
          <w:sz w:val="24"/>
          <w:szCs w:val="24"/>
          <w:rtl/>
        </w:rPr>
        <w:t>קרינה</w:t>
      </w:r>
      <w:r w:rsidR="009D38C5" w:rsidRPr="009D38C5">
        <w:rPr>
          <w:rFonts w:cs="David"/>
          <w:color w:val="17365D"/>
          <w:sz w:val="24"/>
          <w:szCs w:val="24"/>
          <w:rtl/>
        </w:rPr>
        <w:t xml:space="preserve"> </w:t>
      </w:r>
      <w:r w:rsidR="009D38C5" w:rsidRPr="009D38C5">
        <w:rPr>
          <w:rFonts w:cs="David" w:hint="cs"/>
          <w:color w:val="17365D"/>
          <w:sz w:val="24"/>
          <w:szCs w:val="24"/>
          <w:rtl/>
        </w:rPr>
        <w:t>בלתי</w:t>
      </w:r>
      <w:r w:rsidR="009D38C5" w:rsidRPr="009D38C5">
        <w:rPr>
          <w:rFonts w:cs="David"/>
          <w:color w:val="17365D"/>
          <w:sz w:val="24"/>
          <w:szCs w:val="24"/>
          <w:rtl/>
        </w:rPr>
        <w:t>-</w:t>
      </w:r>
      <w:r w:rsidR="009D38C5" w:rsidRPr="009D38C5">
        <w:rPr>
          <w:rFonts w:cs="David" w:hint="cs"/>
          <w:color w:val="17365D"/>
          <w:sz w:val="24"/>
          <w:szCs w:val="24"/>
          <w:rtl/>
        </w:rPr>
        <w:t>מייננת</w:t>
      </w:r>
      <w:r w:rsidR="009D38C5" w:rsidRPr="009D38C5">
        <w:rPr>
          <w:rFonts w:cs="David"/>
          <w:color w:val="17365D"/>
          <w:sz w:val="24"/>
          <w:szCs w:val="24"/>
          <w:rtl/>
        </w:rPr>
        <w:t xml:space="preserve"> </w:t>
      </w:r>
      <w:r w:rsidR="009D38C5" w:rsidRPr="009D38C5">
        <w:rPr>
          <w:rFonts w:cs="David" w:hint="cs"/>
          <w:color w:val="17365D"/>
          <w:sz w:val="24"/>
          <w:szCs w:val="24"/>
          <w:rtl/>
        </w:rPr>
        <w:t>והשפעותיה</w:t>
      </w:r>
      <w:r w:rsidR="009D38C5" w:rsidRPr="009D38C5">
        <w:rPr>
          <w:rFonts w:cs="David"/>
          <w:color w:val="17365D"/>
          <w:sz w:val="24"/>
          <w:szCs w:val="24"/>
          <w:rtl/>
        </w:rPr>
        <w:t xml:space="preserve"> </w:t>
      </w:r>
      <w:r w:rsidR="009D38C5" w:rsidRPr="009D38C5">
        <w:rPr>
          <w:rFonts w:cs="David" w:hint="cs"/>
          <w:color w:val="17365D"/>
          <w:sz w:val="24"/>
          <w:szCs w:val="24"/>
          <w:rtl/>
        </w:rPr>
        <w:t>על</w:t>
      </w:r>
      <w:r w:rsidR="009D38C5" w:rsidRPr="009D38C5">
        <w:rPr>
          <w:rFonts w:cs="David"/>
          <w:color w:val="17365D"/>
          <w:sz w:val="24"/>
          <w:szCs w:val="24"/>
          <w:rtl/>
        </w:rPr>
        <w:t xml:space="preserve"> </w:t>
      </w:r>
      <w:r w:rsidR="009D38C5" w:rsidRPr="009D38C5">
        <w:rPr>
          <w:rFonts w:cs="David" w:hint="cs"/>
          <w:color w:val="17365D"/>
          <w:sz w:val="24"/>
          <w:szCs w:val="24"/>
          <w:rtl/>
        </w:rPr>
        <w:t>בריאות</w:t>
      </w:r>
      <w:r w:rsidR="009D38C5" w:rsidRPr="009D38C5">
        <w:rPr>
          <w:rFonts w:cs="David"/>
          <w:color w:val="17365D"/>
          <w:sz w:val="24"/>
          <w:szCs w:val="24"/>
          <w:rtl/>
        </w:rPr>
        <w:t xml:space="preserve"> </w:t>
      </w:r>
      <w:r w:rsidR="009D38C5" w:rsidRPr="009D38C5">
        <w:rPr>
          <w:rFonts w:cs="David" w:hint="cs"/>
          <w:color w:val="17365D"/>
          <w:sz w:val="24"/>
          <w:szCs w:val="24"/>
          <w:rtl/>
        </w:rPr>
        <w:t>הציבור</w:t>
      </w:r>
      <w:r w:rsidR="009D38C5" w:rsidRPr="009D38C5">
        <w:rPr>
          <w:rFonts w:cs="David"/>
          <w:color w:val="17365D"/>
          <w:sz w:val="24"/>
          <w:szCs w:val="24"/>
          <w:rtl/>
        </w:rPr>
        <w:t xml:space="preserve"> </w:t>
      </w:r>
      <w:proofErr w:type="spellStart"/>
      <w:r w:rsidR="009D38C5" w:rsidRPr="009D38C5">
        <w:rPr>
          <w:rFonts w:cs="David" w:hint="cs"/>
          <w:color w:val="17365D"/>
          <w:sz w:val="24"/>
          <w:szCs w:val="24"/>
          <w:rtl/>
        </w:rPr>
        <w:t>ולהנגיש</w:t>
      </w:r>
      <w:proofErr w:type="spellEnd"/>
      <w:r w:rsidR="009D38C5" w:rsidRPr="009D38C5">
        <w:rPr>
          <w:rFonts w:cs="David"/>
          <w:color w:val="17365D"/>
          <w:sz w:val="24"/>
          <w:szCs w:val="24"/>
          <w:rtl/>
        </w:rPr>
        <w:t xml:space="preserve"> </w:t>
      </w:r>
      <w:r w:rsidR="009D38C5" w:rsidRPr="009D38C5">
        <w:rPr>
          <w:rFonts w:cs="David" w:hint="cs"/>
          <w:color w:val="17365D"/>
          <w:sz w:val="24"/>
          <w:szCs w:val="24"/>
          <w:rtl/>
        </w:rPr>
        <w:t>מידע</w:t>
      </w:r>
      <w:r w:rsidR="009D38C5" w:rsidRPr="009D38C5">
        <w:rPr>
          <w:rFonts w:cs="David"/>
          <w:color w:val="17365D"/>
          <w:sz w:val="24"/>
          <w:szCs w:val="24"/>
          <w:rtl/>
        </w:rPr>
        <w:t xml:space="preserve"> </w:t>
      </w:r>
      <w:r w:rsidR="009D38C5" w:rsidRPr="009D38C5">
        <w:rPr>
          <w:rFonts w:cs="David" w:hint="cs"/>
          <w:color w:val="17365D"/>
          <w:sz w:val="24"/>
          <w:szCs w:val="24"/>
          <w:rtl/>
        </w:rPr>
        <w:t>זה</w:t>
      </w:r>
      <w:r w:rsidR="009D38C5" w:rsidRPr="009D38C5">
        <w:rPr>
          <w:rFonts w:cs="David"/>
          <w:color w:val="17365D"/>
          <w:sz w:val="24"/>
          <w:szCs w:val="24"/>
          <w:rtl/>
        </w:rPr>
        <w:t xml:space="preserve"> </w:t>
      </w:r>
      <w:r w:rsidR="009D38C5" w:rsidRPr="009D38C5">
        <w:rPr>
          <w:rFonts w:cs="David" w:hint="cs"/>
          <w:color w:val="17365D"/>
          <w:sz w:val="24"/>
          <w:szCs w:val="24"/>
          <w:rtl/>
        </w:rPr>
        <w:t>לקהלי</w:t>
      </w:r>
      <w:r w:rsidR="009D38C5" w:rsidRPr="009D38C5">
        <w:rPr>
          <w:rFonts w:cs="David"/>
          <w:color w:val="17365D"/>
          <w:sz w:val="24"/>
          <w:szCs w:val="24"/>
          <w:rtl/>
        </w:rPr>
        <w:t xml:space="preserve"> </w:t>
      </w:r>
      <w:r w:rsidR="009D38C5" w:rsidRPr="009D38C5">
        <w:rPr>
          <w:rFonts w:cs="David" w:hint="cs"/>
          <w:color w:val="17365D"/>
          <w:sz w:val="24"/>
          <w:szCs w:val="24"/>
          <w:rtl/>
        </w:rPr>
        <w:t>היעד</w:t>
      </w:r>
      <w:r w:rsidR="009D38C5" w:rsidRPr="009D38C5">
        <w:rPr>
          <w:rFonts w:cs="David"/>
          <w:color w:val="17365D"/>
          <w:sz w:val="24"/>
          <w:szCs w:val="24"/>
          <w:rtl/>
        </w:rPr>
        <w:t xml:space="preserve">. </w:t>
      </w:r>
    </w:p>
    <w:p w:rsidR="000B55C1" w:rsidRPr="00627292" w:rsidRDefault="000B55C1" w:rsidP="009D38C5">
      <w:pPr>
        <w:spacing w:after="0"/>
        <w:ind w:left="43"/>
        <w:jc w:val="both"/>
        <w:rPr>
          <w:rFonts w:cs="David"/>
          <w:color w:val="17365D"/>
          <w:sz w:val="24"/>
          <w:szCs w:val="24"/>
        </w:rPr>
      </w:pPr>
      <w:r>
        <w:rPr>
          <w:rFonts w:cs="David" w:hint="cs"/>
          <w:color w:val="17365D"/>
          <w:sz w:val="24"/>
          <w:szCs w:val="24"/>
          <w:rtl/>
        </w:rPr>
        <w:t xml:space="preserve">  </w:t>
      </w:r>
    </w:p>
    <w:p w:rsidR="00893847" w:rsidRDefault="00893847" w:rsidP="006E2770">
      <w:pPr>
        <w:pStyle w:val="ad"/>
        <w:numPr>
          <w:ilvl w:val="0"/>
          <w:numId w:val="9"/>
        </w:numPr>
        <w:spacing w:after="0"/>
        <w:ind w:left="43" w:firstLine="0"/>
        <w:jc w:val="both"/>
        <w:rPr>
          <w:rFonts w:cs="David"/>
          <w:b/>
          <w:bCs/>
          <w:color w:val="17365D"/>
          <w:sz w:val="28"/>
          <w:szCs w:val="28"/>
        </w:rPr>
      </w:pPr>
      <w:r>
        <w:rPr>
          <w:rFonts w:cs="David" w:hint="cs"/>
          <w:b/>
          <w:bCs/>
          <w:color w:val="17365D"/>
          <w:sz w:val="28"/>
          <w:szCs w:val="28"/>
          <w:rtl/>
        </w:rPr>
        <w:t>מטרות</w:t>
      </w:r>
    </w:p>
    <w:p w:rsidR="00197759" w:rsidRDefault="003867BE" w:rsidP="006E2770">
      <w:pPr>
        <w:spacing w:after="0"/>
        <w:ind w:left="43"/>
        <w:jc w:val="both"/>
        <w:rPr>
          <w:rFonts w:cs="David"/>
          <w:color w:val="17365D"/>
          <w:sz w:val="24"/>
          <w:szCs w:val="24"/>
          <w:rtl/>
        </w:rPr>
      </w:pPr>
      <w:r>
        <w:rPr>
          <w:rFonts w:cs="David" w:hint="cs"/>
          <w:color w:val="17365D"/>
          <w:sz w:val="24"/>
          <w:szCs w:val="24"/>
          <w:rtl/>
        </w:rPr>
        <w:t>להעריך את השינויים העתיים שחלו בהיארעות גידולים של המח ומערכת העצבים המרכזית בין השנים 1990 ו-201</w:t>
      </w:r>
      <w:r w:rsidR="003B4681">
        <w:rPr>
          <w:rFonts w:cs="David" w:hint="cs"/>
          <w:color w:val="17365D"/>
          <w:sz w:val="24"/>
          <w:szCs w:val="24"/>
          <w:rtl/>
        </w:rPr>
        <w:t>4</w:t>
      </w:r>
      <w:r>
        <w:rPr>
          <w:rFonts w:cs="David" w:hint="cs"/>
          <w:color w:val="17365D"/>
          <w:sz w:val="24"/>
          <w:szCs w:val="24"/>
          <w:rtl/>
        </w:rPr>
        <w:t xml:space="preserve"> בישראל, </w:t>
      </w:r>
      <w:r w:rsidR="00607C5C">
        <w:rPr>
          <w:rFonts w:cs="David" w:hint="cs"/>
          <w:color w:val="17365D"/>
          <w:sz w:val="24"/>
          <w:szCs w:val="24"/>
          <w:rtl/>
        </w:rPr>
        <w:t>שנים במהלכ</w:t>
      </w:r>
      <w:r w:rsidR="003B4681">
        <w:rPr>
          <w:rFonts w:cs="David" w:hint="cs"/>
          <w:color w:val="17365D"/>
          <w:sz w:val="24"/>
          <w:szCs w:val="24"/>
          <w:rtl/>
        </w:rPr>
        <w:t>ן</w:t>
      </w:r>
      <w:r w:rsidR="00607C5C">
        <w:rPr>
          <w:rFonts w:cs="David" w:hint="cs"/>
          <w:color w:val="17365D"/>
          <w:sz w:val="24"/>
          <w:szCs w:val="24"/>
          <w:rtl/>
        </w:rPr>
        <w:t xml:space="preserve"> חלה עלייה תלולה בשימוש בטלפונים סלולריים בכלל האוכלוסייה.</w:t>
      </w:r>
    </w:p>
    <w:p w:rsidR="00D952C8" w:rsidRPr="00797D21" w:rsidRDefault="00D952C8" w:rsidP="006E2770">
      <w:pPr>
        <w:spacing w:after="0"/>
        <w:ind w:left="43"/>
        <w:jc w:val="both"/>
        <w:rPr>
          <w:rFonts w:cs="David"/>
          <w:color w:val="17365D"/>
          <w:sz w:val="24"/>
          <w:szCs w:val="24"/>
        </w:rPr>
      </w:pPr>
    </w:p>
    <w:p w:rsidR="00893847" w:rsidRDefault="00893847" w:rsidP="006E2770">
      <w:pPr>
        <w:pStyle w:val="ad"/>
        <w:numPr>
          <w:ilvl w:val="0"/>
          <w:numId w:val="9"/>
        </w:numPr>
        <w:spacing w:after="0"/>
        <w:ind w:left="43" w:firstLine="0"/>
        <w:jc w:val="both"/>
        <w:rPr>
          <w:rFonts w:cs="David"/>
          <w:b/>
          <w:bCs/>
          <w:color w:val="17365D"/>
          <w:sz w:val="28"/>
          <w:szCs w:val="28"/>
        </w:rPr>
      </w:pPr>
      <w:r>
        <w:rPr>
          <w:rFonts w:cs="David" w:hint="cs"/>
          <w:b/>
          <w:bCs/>
          <w:color w:val="17365D"/>
          <w:sz w:val="28"/>
          <w:szCs w:val="28"/>
          <w:rtl/>
        </w:rPr>
        <w:t>שיטות</w:t>
      </w:r>
    </w:p>
    <w:p w:rsidR="002940CD" w:rsidRDefault="003B4681" w:rsidP="006E2770">
      <w:pPr>
        <w:spacing w:after="0"/>
        <w:ind w:left="43"/>
        <w:jc w:val="both"/>
        <w:rPr>
          <w:rFonts w:cs="David"/>
          <w:color w:val="17365D"/>
          <w:sz w:val="24"/>
          <w:szCs w:val="24"/>
          <w:rtl/>
        </w:rPr>
      </w:pPr>
      <w:r>
        <w:rPr>
          <w:rFonts w:cs="David" w:hint="cs"/>
          <w:color w:val="17365D"/>
          <w:sz w:val="24"/>
          <w:szCs w:val="24"/>
          <w:rtl/>
        </w:rPr>
        <w:t xml:space="preserve">בישראל קיימת חובת דיווח על פי חוק (מאז 1982) לרישום הלאומי לסרטן על אבחנה של גידולים </w:t>
      </w:r>
      <w:r w:rsidR="00F53462">
        <w:rPr>
          <w:rFonts w:cs="David" w:hint="cs"/>
          <w:color w:val="17365D"/>
          <w:sz w:val="24"/>
          <w:szCs w:val="24"/>
          <w:rtl/>
        </w:rPr>
        <w:t>(</w:t>
      </w:r>
      <w:r>
        <w:rPr>
          <w:rFonts w:cs="David" w:hint="cs"/>
          <w:color w:val="17365D"/>
          <w:sz w:val="24"/>
          <w:szCs w:val="24"/>
          <w:rtl/>
        </w:rPr>
        <w:t>ממאירים ושפירים</w:t>
      </w:r>
      <w:r w:rsidR="00F53462">
        <w:rPr>
          <w:rFonts w:cs="David" w:hint="cs"/>
          <w:color w:val="17365D"/>
          <w:sz w:val="24"/>
          <w:szCs w:val="24"/>
          <w:rtl/>
        </w:rPr>
        <w:t>)</w:t>
      </w:r>
      <w:r>
        <w:rPr>
          <w:rFonts w:cs="David" w:hint="cs"/>
          <w:color w:val="17365D"/>
          <w:sz w:val="24"/>
          <w:szCs w:val="24"/>
          <w:rtl/>
        </w:rPr>
        <w:t xml:space="preserve"> במח ובמערכת העצבים המרכזית. </w:t>
      </w:r>
      <w:r w:rsidR="00607C5C">
        <w:rPr>
          <w:rFonts w:cs="David" w:hint="cs"/>
          <w:color w:val="17365D"/>
          <w:sz w:val="24"/>
          <w:szCs w:val="24"/>
          <w:rtl/>
        </w:rPr>
        <w:t>על מנת להעריך את השינויים העתיים שחלו בהיארעות גידולים של המח ומערכת העצבים המרכזית בין השנים 1990 ו-201</w:t>
      </w:r>
      <w:r>
        <w:rPr>
          <w:rFonts w:cs="David" w:hint="cs"/>
          <w:color w:val="17365D"/>
          <w:sz w:val="24"/>
          <w:szCs w:val="24"/>
          <w:rtl/>
        </w:rPr>
        <w:t>4</w:t>
      </w:r>
      <w:r w:rsidR="00607C5C">
        <w:rPr>
          <w:rFonts w:cs="David" w:hint="cs"/>
          <w:color w:val="17365D"/>
          <w:sz w:val="24"/>
          <w:szCs w:val="24"/>
          <w:rtl/>
        </w:rPr>
        <w:t xml:space="preserve"> בישראל</w:t>
      </w:r>
      <w:r>
        <w:rPr>
          <w:rFonts w:cs="David" w:hint="cs"/>
          <w:color w:val="17365D"/>
          <w:sz w:val="24"/>
          <w:szCs w:val="24"/>
          <w:rtl/>
        </w:rPr>
        <w:t>, שלפנו ממאגר הנתונים של הרישום את כל המקרים אשר ענו על הקריטריונים הבאים:</w:t>
      </w:r>
    </w:p>
    <w:p w:rsidR="003B4681" w:rsidRPr="003B4681" w:rsidRDefault="003B4681" w:rsidP="006E2770">
      <w:pPr>
        <w:pStyle w:val="ad"/>
        <w:numPr>
          <w:ilvl w:val="0"/>
          <w:numId w:val="15"/>
        </w:numPr>
        <w:spacing w:after="0"/>
        <w:ind w:left="43" w:firstLine="0"/>
        <w:jc w:val="both"/>
        <w:rPr>
          <w:rFonts w:cs="David"/>
          <w:color w:val="17365D"/>
          <w:sz w:val="24"/>
          <w:szCs w:val="24"/>
          <w:rtl/>
        </w:rPr>
      </w:pPr>
      <w:r w:rsidRPr="003B4681">
        <w:rPr>
          <w:rFonts w:cs="David" w:hint="cs"/>
          <w:color w:val="17365D"/>
          <w:sz w:val="24"/>
          <w:szCs w:val="24"/>
          <w:rtl/>
        </w:rPr>
        <w:t>אובחנו לראשונה בשנים 1990-2014.</w:t>
      </w:r>
    </w:p>
    <w:p w:rsidR="00FD3850" w:rsidRPr="003B4681" w:rsidRDefault="00FD3850" w:rsidP="003C378E">
      <w:pPr>
        <w:pStyle w:val="ad"/>
        <w:numPr>
          <w:ilvl w:val="0"/>
          <w:numId w:val="15"/>
        </w:numPr>
        <w:spacing w:after="0"/>
        <w:ind w:left="43" w:firstLine="0"/>
        <w:jc w:val="both"/>
        <w:rPr>
          <w:rFonts w:cs="David"/>
          <w:color w:val="17365D"/>
          <w:sz w:val="24"/>
          <w:szCs w:val="24"/>
          <w:rtl/>
        </w:rPr>
      </w:pPr>
      <w:r w:rsidRPr="003B4681">
        <w:rPr>
          <w:rFonts w:cs="David" w:hint="cs"/>
          <w:color w:val="17365D"/>
          <w:sz w:val="24"/>
          <w:szCs w:val="24"/>
          <w:rtl/>
        </w:rPr>
        <w:t xml:space="preserve">באתרים האנטומיים הבאים: קרומי המח </w:t>
      </w:r>
      <w:r w:rsidRPr="003B4681">
        <w:rPr>
          <w:rFonts w:cs="David"/>
          <w:color w:val="17365D"/>
          <w:sz w:val="24"/>
          <w:szCs w:val="24"/>
        </w:rPr>
        <w:t>(ICD-O-3 code C70)</w:t>
      </w:r>
      <w:r w:rsidRPr="003B4681">
        <w:rPr>
          <w:rFonts w:cs="David" w:hint="cs"/>
          <w:color w:val="17365D"/>
          <w:sz w:val="24"/>
          <w:szCs w:val="24"/>
          <w:rtl/>
        </w:rPr>
        <w:t xml:space="preserve">; רקמת המח </w:t>
      </w:r>
      <w:r w:rsidRPr="003B4681">
        <w:rPr>
          <w:rFonts w:cs="David"/>
          <w:color w:val="17365D"/>
          <w:sz w:val="24"/>
          <w:szCs w:val="24"/>
        </w:rPr>
        <w:t>(C71)</w:t>
      </w:r>
      <w:r w:rsidRPr="003B4681">
        <w:rPr>
          <w:rFonts w:cs="David" w:hint="cs"/>
          <w:color w:val="17365D"/>
          <w:sz w:val="24"/>
          <w:szCs w:val="24"/>
          <w:rtl/>
        </w:rPr>
        <w:t xml:space="preserve">; עמוד השדרה, עצבים קרניאליים וחלקים אחרים של מערכת העצבים המרכזית </w:t>
      </w:r>
      <w:r w:rsidRPr="003B4681">
        <w:rPr>
          <w:rFonts w:cs="David"/>
          <w:color w:val="17365D"/>
          <w:sz w:val="24"/>
          <w:szCs w:val="24"/>
        </w:rPr>
        <w:t>(C72)</w:t>
      </w:r>
      <w:r w:rsidRPr="003B4681">
        <w:rPr>
          <w:rFonts w:cs="David" w:hint="cs"/>
          <w:color w:val="17365D"/>
          <w:sz w:val="24"/>
          <w:szCs w:val="24"/>
          <w:rtl/>
        </w:rPr>
        <w:t>; בלוטת יותרת המח=היפופיזה</w:t>
      </w:r>
      <w:r w:rsidR="00F53462">
        <w:rPr>
          <w:rFonts w:cs="David" w:hint="cs"/>
          <w:color w:val="17365D"/>
          <w:sz w:val="24"/>
          <w:szCs w:val="24"/>
          <w:rtl/>
        </w:rPr>
        <w:t xml:space="preserve">, </w:t>
      </w:r>
      <w:r w:rsidR="00F53462">
        <w:rPr>
          <w:rFonts w:cs="David"/>
          <w:color w:val="17365D"/>
          <w:sz w:val="24"/>
          <w:szCs w:val="24"/>
        </w:rPr>
        <w:t>Pituit</w:t>
      </w:r>
      <w:r w:rsidR="00491133">
        <w:rPr>
          <w:rFonts w:cs="David"/>
          <w:color w:val="17365D"/>
          <w:sz w:val="24"/>
          <w:szCs w:val="24"/>
        </w:rPr>
        <w:t>a</w:t>
      </w:r>
      <w:r w:rsidR="00F53462">
        <w:rPr>
          <w:rFonts w:cs="David"/>
          <w:color w:val="17365D"/>
          <w:sz w:val="24"/>
          <w:szCs w:val="24"/>
        </w:rPr>
        <w:t>ry</w:t>
      </w:r>
      <w:r w:rsidRPr="003B4681">
        <w:rPr>
          <w:rFonts w:cs="David" w:hint="cs"/>
          <w:color w:val="17365D"/>
          <w:sz w:val="24"/>
          <w:szCs w:val="24"/>
          <w:rtl/>
        </w:rPr>
        <w:t xml:space="preserve"> </w:t>
      </w:r>
      <w:r w:rsidRPr="003B4681">
        <w:rPr>
          <w:rFonts w:cs="David"/>
          <w:color w:val="17365D"/>
          <w:sz w:val="24"/>
          <w:szCs w:val="24"/>
        </w:rPr>
        <w:t>(C75.1)</w:t>
      </w:r>
      <w:r w:rsidRPr="003B4681">
        <w:rPr>
          <w:rFonts w:cs="David" w:hint="cs"/>
          <w:color w:val="17365D"/>
          <w:sz w:val="24"/>
          <w:szCs w:val="24"/>
          <w:rtl/>
        </w:rPr>
        <w:t xml:space="preserve">; צינור קרניופרינגאלי </w:t>
      </w:r>
      <w:r w:rsidRPr="003B4681">
        <w:rPr>
          <w:rFonts w:cs="David"/>
          <w:color w:val="17365D"/>
          <w:sz w:val="24"/>
          <w:szCs w:val="24"/>
        </w:rPr>
        <w:t>(C75.2)</w:t>
      </w:r>
      <w:r w:rsidR="003C378E">
        <w:rPr>
          <w:rFonts w:cs="David" w:hint="cs"/>
          <w:color w:val="17365D"/>
          <w:sz w:val="24"/>
          <w:szCs w:val="24"/>
          <w:rtl/>
        </w:rPr>
        <w:t>, ועוד</w:t>
      </w:r>
      <w:r w:rsidRPr="003B4681">
        <w:rPr>
          <w:rFonts w:cs="David" w:hint="cs"/>
          <w:color w:val="17365D"/>
          <w:sz w:val="24"/>
          <w:szCs w:val="24"/>
          <w:rtl/>
        </w:rPr>
        <w:t>.</w:t>
      </w:r>
    </w:p>
    <w:p w:rsidR="003B4681" w:rsidRPr="003B4681" w:rsidRDefault="005739A6" w:rsidP="005739A6">
      <w:pPr>
        <w:pStyle w:val="ad"/>
        <w:numPr>
          <w:ilvl w:val="0"/>
          <w:numId w:val="15"/>
        </w:numPr>
        <w:spacing w:after="0"/>
        <w:ind w:left="43" w:firstLine="0"/>
        <w:jc w:val="both"/>
        <w:rPr>
          <w:rFonts w:cs="David"/>
          <w:color w:val="17365D"/>
          <w:sz w:val="24"/>
          <w:szCs w:val="24"/>
          <w:rtl/>
        </w:rPr>
      </w:pPr>
      <w:r>
        <w:rPr>
          <w:rFonts w:cs="David" w:hint="cs"/>
          <w:color w:val="17365D"/>
          <w:sz w:val="24"/>
          <w:szCs w:val="24"/>
          <w:rtl/>
        </w:rPr>
        <w:t xml:space="preserve">עם </w:t>
      </w:r>
      <w:r w:rsidR="003B4681" w:rsidRPr="003B4681">
        <w:rPr>
          <w:rFonts w:cs="David" w:hint="cs"/>
          <w:color w:val="17365D"/>
          <w:sz w:val="24"/>
          <w:szCs w:val="24"/>
          <w:rtl/>
        </w:rPr>
        <w:t xml:space="preserve">קוד התנהגות </w:t>
      </w:r>
      <w:r w:rsidR="00FD3850">
        <w:rPr>
          <w:rFonts w:cs="David" w:hint="cs"/>
          <w:color w:val="17365D"/>
          <w:sz w:val="24"/>
          <w:szCs w:val="24"/>
          <w:rtl/>
        </w:rPr>
        <w:t xml:space="preserve">של גידול </w:t>
      </w:r>
      <w:r w:rsidR="003B4681" w:rsidRPr="003B4681">
        <w:rPr>
          <w:rFonts w:cs="David" w:hint="cs"/>
          <w:color w:val="17365D"/>
          <w:sz w:val="24"/>
          <w:szCs w:val="24"/>
          <w:rtl/>
        </w:rPr>
        <w:t>שפיר</w:t>
      </w:r>
      <w:r w:rsidR="00F53462">
        <w:rPr>
          <w:rFonts w:cs="David" w:hint="cs"/>
          <w:color w:val="17365D"/>
          <w:sz w:val="24"/>
          <w:szCs w:val="24"/>
          <w:rtl/>
        </w:rPr>
        <w:t xml:space="preserve"> (0)</w:t>
      </w:r>
      <w:r w:rsidR="003B4681" w:rsidRPr="003B4681">
        <w:rPr>
          <w:rFonts w:cs="David" w:hint="cs"/>
          <w:color w:val="17365D"/>
          <w:sz w:val="24"/>
          <w:szCs w:val="24"/>
          <w:rtl/>
        </w:rPr>
        <w:t xml:space="preserve">, </w:t>
      </w:r>
      <w:r w:rsidR="00FD3850">
        <w:rPr>
          <w:rFonts w:cs="David" w:hint="cs"/>
          <w:color w:val="17365D"/>
          <w:sz w:val="24"/>
          <w:szCs w:val="24"/>
          <w:rtl/>
        </w:rPr>
        <w:t>לא ברור</w:t>
      </w:r>
      <w:r w:rsidR="003B4681" w:rsidRPr="003B4681">
        <w:rPr>
          <w:rFonts w:cs="David" w:hint="cs"/>
          <w:color w:val="17365D"/>
          <w:sz w:val="24"/>
          <w:szCs w:val="24"/>
          <w:rtl/>
        </w:rPr>
        <w:t xml:space="preserve"> </w:t>
      </w:r>
      <w:r w:rsidR="003B4681" w:rsidRPr="003B4681">
        <w:rPr>
          <w:rFonts w:cs="David"/>
          <w:color w:val="17365D"/>
          <w:sz w:val="24"/>
          <w:szCs w:val="24"/>
        </w:rPr>
        <w:t>(</w:t>
      </w:r>
      <w:r w:rsidR="00FD3850">
        <w:rPr>
          <w:rFonts w:cs="David"/>
          <w:color w:val="17365D"/>
          <w:sz w:val="24"/>
          <w:szCs w:val="24"/>
        </w:rPr>
        <w:t>uncertain behavior</w:t>
      </w:r>
      <w:r w:rsidR="003B4681" w:rsidRPr="003B4681">
        <w:rPr>
          <w:rFonts w:cs="David"/>
          <w:color w:val="17365D"/>
          <w:sz w:val="24"/>
          <w:szCs w:val="24"/>
        </w:rPr>
        <w:t>)</w:t>
      </w:r>
      <w:r w:rsidR="00F53462">
        <w:rPr>
          <w:rFonts w:cs="David" w:hint="cs"/>
          <w:color w:val="17365D"/>
          <w:sz w:val="24"/>
          <w:szCs w:val="24"/>
          <w:rtl/>
        </w:rPr>
        <w:t xml:space="preserve"> (1)</w:t>
      </w:r>
      <w:r w:rsidR="003B4681" w:rsidRPr="003B4681">
        <w:rPr>
          <w:rFonts w:cs="David" w:hint="cs"/>
          <w:color w:val="17365D"/>
          <w:sz w:val="24"/>
          <w:szCs w:val="24"/>
          <w:rtl/>
        </w:rPr>
        <w:t xml:space="preserve">, </w:t>
      </w:r>
      <w:r w:rsidR="00FD3850">
        <w:rPr>
          <w:rFonts w:cs="David" w:hint="cs"/>
          <w:color w:val="17365D"/>
          <w:sz w:val="24"/>
          <w:szCs w:val="24"/>
          <w:rtl/>
        </w:rPr>
        <w:t xml:space="preserve">ממאיר </w:t>
      </w:r>
      <w:r w:rsidR="003B4681" w:rsidRPr="003B4681">
        <w:rPr>
          <w:rFonts w:cs="David" w:hint="cs"/>
          <w:color w:val="17365D"/>
          <w:sz w:val="24"/>
          <w:szCs w:val="24"/>
          <w:rtl/>
        </w:rPr>
        <w:t xml:space="preserve">ממוקד </w:t>
      </w:r>
      <w:r w:rsidR="003B4681" w:rsidRPr="003B4681">
        <w:rPr>
          <w:rFonts w:cs="David"/>
          <w:color w:val="17365D"/>
          <w:sz w:val="24"/>
          <w:szCs w:val="24"/>
        </w:rPr>
        <w:t>(in situ)</w:t>
      </w:r>
      <w:r w:rsidR="003B4681" w:rsidRPr="003B4681">
        <w:rPr>
          <w:rFonts w:cs="David" w:hint="cs"/>
          <w:color w:val="17365D"/>
          <w:sz w:val="24"/>
          <w:szCs w:val="24"/>
          <w:rtl/>
        </w:rPr>
        <w:t xml:space="preserve"> </w:t>
      </w:r>
      <w:r w:rsidR="00F53462">
        <w:rPr>
          <w:rFonts w:cs="David" w:hint="cs"/>
          <w:color w:val="17365D"/>
          <w:sz w:val="24"/>
          <w:szCs w:val="24"/>
          <w:rtl/>
        </w:rPr>
        <w:t xml:space="preserve">(2) </w:t>
      </w:r>
      <w:r w:rsidR="003B4681" w:rsidRPr="003B4681">
        <w:rPr>
          <w:rFonts w:cs="David" w:hint="cs"/>
          <w:color w:val="17365D"/>
          <w:sz w:val="24"/>
          <w:szCs w:val="24"/>
          <w:rtl/>
        </w:rPr>
        <w:t xml:space="preserve">או </w:t>
      </w:r>
      <w:r w:rsidR="00FD3850">
        <w:rPr>
          <w:rFonts w:cs="David" w:hint="cs"/>
          <w:color w:val="17365D"/>
          <w:sz w:val="24"/>
          <w:szCs w:val="24"/>
          <w:rtl/>
        </w:rPr>
        <w:t xml:space="preserve">ממאיר </w:t>
      </w:r>
      <w:r w:rsidR="003B4681" w:rsidRPr="003B4681">
        <w:rPr>
          <w:rFonts w:cs="David" w:hint="cs"/>
          <w:color w:val="17365D"/>
          <w:sz w:val="24"/>
          <w:szCs w:val="24"/>
          <w:rtl/>
        </w:rPr>
        <w:t xml:space="preserve">חודרני </w:t>
      </w:r>
      <w:r w:rsidR="003B4681" w:rsidRPr="003B4681">
        <w:rPr>
          <w:rFonts w:cs="David"/>
          <w:color w:val="17365D"/>
          <w:sz w:val="24"/>
          <w:szCs w:val="24"/>
        </w:rPr>
        <w:t>(invasive)</w:t>
      </w:r>
      <w:r w:rsidR="00F53462">
        <w:rPr>
          <w:rFonts w:cs="David" w:hint="cs"/>
          <w:color w:val="17365D"/>
          <w:sz w:val="24"/>
          <w:szCs w:val="24"/>
          <w:rtl/>
        </w:rPr>
        <w:t xml:space="preserve"> (3)</w:t>
      </w:r>
      <w:r w:rsidR="003B4681" w:rsidRPr="003B4681">
        <w:rPr>
          <w:rFonts w:cs="David" w:hint="cs"/>
          <w:color w:val="17365D"/>
          <w:sz w:val="24"/>
          <w:szCs w:val="24"/>
          <w:rtl/>
        </w:rPr>
        <w:t>.</w:t>
      </w:r>
    </w:p>
    <w:p w:rsidR="000A11F9" w:rsidRDefault="009D38C5" w:rsidP="00491133">
      <w:pPr>
        <w:spacing w:after="0"/>
        <w:ind w:left="43"/>
        <w:jc w:val="both"/>
        <w:rPr>
          <w:rFonts w:cs="David"/>
          <w:color w:val="17365D"/>
          <w:sz w:val="20"/>
          <w:szCs w:val="20"/>
          <w:rtl/>
        </w:rPr>
      </w:pPr>
      <w:r>
        <w:rPr>
          <w:rFonts w:cs="David" w:hint="cs"/>
          <w:color w:val="17365D"/>
          <w:sz w:val="24"/>
          <w:szCs w:val="24"/>
          <w:rtl/>
        </w:rPr>
        <w:t>רשימ</w:t>
      </w:r>
      <w:r w:rsidR="003B4681">
        <w:rPr>
          <w:rFonts w:cs="David" w:hint="cs"/>
          <w:color w:val="17365D"/>
          <w:sz w:val="24"/>
          <w:szCs w:val="24"/>
          <w:rtl/>
        </w:rPr>
        <w:t>ת הגידולים שנכללו בעיבוד הנתונים</w:t>
      </w:r>
      <w:r w:rsidR="000A11F9" w:rsidRPr="000A11F9">
        <w:rPr>
          <w:rFonts w:cs="David" w:hint="cs"/>
          <w:color w:val="17365D"/>
          <w:sz w:val="24"/>
          <w:szCs w:val="24"/>
          <w:rtl/>
        </w:rPr>
        <w:t xml:space="preserve"> </w:t>
      </w:r>
      <w:r w:rsidR="000A11F9">
        <w:rPr>
          <w:rFonts w:cs="David" w:hint="cs"/>
          <w:color w:val="17365D"/>
          <w:sz w:val="24"/>
          <w:szCs w:val="24"/>
          <w:rtl/>
        </w:rPr>
        <w:t xml:space="preserve">מתוארת בטבלה 1. </w:t>
      </w:r>
    </w:p>
    <w:p w:rsidR="000A11F9" w:rsidRDefault="000A11F9" w:rsidP="006E2770">
      <w:pPr>
        <w:spacing w:after="0"/>
        <w:ind w:left="43"/>
        <w:jc w:val="both"/>
        <w:rPr>
          <w:rFonts w:cs="David"/>
          <w:color w:val="17365D"/>
          <w:sz w:val="20"/>
          <w:szCs w:val="20"/>
          <w:rtl/>
        </w:rPr>
      </w:pPr>
    </w:p>
    <w:p w:rsidR="000A11F9" w:rsidRPr="000A11F9" w:rsidRDefault="000A11F9" w:rsidP="009D38C5">
      <w:pPr>
        <w:spacing w:after="0"/>
        <w:ind w:left="43"/>
        <w:jc w:val="both"/>
        <w:rPr>
          <w:rFonts w:cs="David"/>
          <w:b/>
          <w:bCs/>
          <w:color w:val="17365D"/>
          <w:sz w:val="20"/>
          <w:szCs w:val="20"/>
          <w:rtl/>
        </w:rPr>
      </w:pPr>
      <w:r w:rsidRPr="000A11F9">
        <w:rPr>
          <w:rFonts w:cs="David" w:hint="cs"/>
          <w:color w:val="17365D"/>
          <w:sz w:val="20"/>
          <w:szCs w:val="20"/>
          <w:rtl/>
        </w:rPr>
        <w:t xml:space="preserve">טבלה 1: </w:t>
      </w:r>
      <w:r w:rsidR="009D38C5">
        <w:rPr>
          <w:rFonts w:cs="David" w:hint="cs"/>
          <w:b/>
          <w:bCs/>
          <w:color w:val="17365D"/>
          <w:sz w:val="20"/>
          <w:szCs w:val="20"/>
          <w:rtl/>
        </w:rPr>
        <w:t>רשימת</w:t>
      </w:r>
      <w:r w:rsidRPr="000A11F9">
        <w:rPr>
          <w:rFonts w:cs="David" w:hint="cs"/>
          <w:b/>
          <w:bCs/>
          <w:color w:val="17365D"/>
          <w:sz w:val="20"/>
          <w:szCs w:val="20"/>
          <w:rtl/>
        </w:rPr>
        <w:t xml:space="preserve"> הגידולים שנכללו בעיבוד הנתונים על פי היסטולוגי</w:t>
      </w:r>
      <w:r>
        <w:rPr>
          <w:rFonts w:cs="David" w:hint="cs"/>
          <w:b/>
          <w:bCs/>
          <w:color w:val="17365D"/>
          <w:sz w:val="20"/>
          <w:szCs w:val="20"/>
          <w:rtl/>
        </w:rPr>
        <w:t>ה</w:t>
      </w:r>
    </w:p>
    <w:tbl>
      <w:tblPr>
        <w:tblStyle w:val="-1"/>
        <w:bidiVisual/>
        <w:tblW w:w="0" w:type="auto"/>
        <w:tblLook w:val="04A0" w:firstRow="1" w:lastRow="0" w:firstColumn="1" w:lastColumn="0" w:noHBand="0" w:noVBand="1"/>
      </w:tblPr>
      <w:tblGrid>
        <w:gridCol w:w="2376"/>
        <w:gridCol w:w="2977"/>
        <w:gridCol w:w="2977"/>
      </w:tblGrid>
      <w:tr w:rsidR="000A11F9" w:rsidTr="00F5346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rsidR="000A11F9" w:rsidRPr="00432A0E" w:rsidRDefault="000A11F9" w:rsidP="006E2770">
            <w:pPr>
              <w:spacing w:after="0"/>
              <w:ind w:left="43"/>
              <w:jc w:val="center"/>
              <w:rPr>
                <w:rFonts w:cs="David"/>
                <w:color w:val="FFFFFF" w:themeColor="background1"/>
                <w:sz w:val="24"/>
                <w:szCs w:val="24"/>
                <w:rtl/>
              </w:rPr>
            </w:pPr>
            <w:r w:rsidRPr="00432A0E">
              <w:rPr>
                <w:rFonts w:cs="David" w:hint="cs"/>
                <w:color w:val="FFFFFF" w:themeColor="background1"/>
                <w:sz w:val="24"/>
                <w:szCs w:val="24"/>
                <w:rtl/>
              </w:rPr>
              <w:t>קטגוריה</w:t>
            </w:r>
          </w:p>
        </w:tc>
        <w:tc>
          <w:tcPr>
            <w:tcW w:w="2977" w:type="dxa"/>
          </w:tcPr>
          <w:p w:rsidR="000A11F9" w:rsidRPr="00432A0E" w:rsidRDefault="000A11F9" w:rsidP="006E2770">
            <w:pPr>
              <w:spacing w:after="0"/>
              <w:ind w:left="43"/>
              <w:jc w:val="center"/>
              <w:cnfStyle w:val="100000000000" w:firstRow="1" w:lastRow="0" w:firstColumn="0" w:lastColumn="0" w:oddVBand="0" w:evenVBand="0" w:oddHBand="0" w:evenHBand="0" w:firstRowFirstColumn="0" w:firstRowLastColumn="0" w:lastRowFirstColumn="0" w:lastRowLastColumn="0"/>
              <w:rPr>
                <w:rFonts w:cs="David"/>
                <w:color w:val="FFFFFF" w:themeColor="background1"/>
                <w:sz w:val="24"/>
                <w:szCs w:val="24"/>
              </w:rPr>
            </w:pPr>
            <w:r w:rsidRPr="00432A0E">
              <w:rPr>
                <w:rFonts w:cs="David" w:hint="cs"/>
                <w:color w:val="FFFFFF" w:themeColor="background1"/>
                <w:sz w:val="24"/>
                <w:szCs w:val="24"/>
                <w:rtl/>
              </w:rPr>
              <w:t xml:space="preserve">קוד </w:t>
            </w:r>
            <w:r w:rsidRPr="00432A0E">
              <w:rPr>
                <w:rFonts w:cs="David"/>
                <w:color w:val="FFFFFF" w:themeColor="background1"/>
                <w:sz w:val="24"/>
                <w:szCs w:val="24"/>
              </w:rPr>
              <w:t>ICD-O-3</w:t>
            </w:r>
          </w:p>
        </w:tc>
        <w:tc>
          <w:tcPr>
            <w:tcW w:w="2977" w:type="dxa"/>
          </w:tcPr>
          <w:p w:rsidR="000A11F9" w:rsidRPr="00432A0E" w:rsidRDefault="000A11F9" w:rsidP="006E2770">
            <w:pPr>
              <w:spacing w:after="0"/>
              <w:ind w:left="43"/>
              <w:jc w:val="center"/>
              <w:cnfStyle w:val="100000000000" w:firstRow="1" w:lastRow="0" w:firstColumn="0" w:lastColumn="0" w:oddVBand="0" w:evenVBand="0" w:oddHBand="0" w:evenHBand="0" w:firstRowFirstColumn="0" w:firstRowLastColumn="0" w:lastRowFirstColumn="0" w:lastRowLastColumn="0"/>
              <w:rPr>
                <w:rFonts w:cs="David"/>
                <w:color w:val="FFFFFF" w:themeColor="background1"/>
                <w:sz w:val="24"/>
                <w:szCs w:val="24"/>
                <w:rtl/>
              </w:rPr>
            </w:pPr>
            <w:r w:rsidRPr="00432A0E">
              <w:rPr>
                <w:rFonts w:cs="David" w:hint="cs"/>
                <w:color w:val="FFFFFF" w:themeColor="background1"/>
                <w:sz w:val="24"/>
                <w:szCs w:val="24"/>
                <w:rtl/>
              </w:rPr>
              <w:t>הסבר</w:t>
            </w:r>
          </w:p>
        </w:tc>
      </w:tr>
      <w:tr w:rsidR="000A11F9" w:rsidTr="00F534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76" w:type="dxa"/>
          </w:tcPr>
          <w:p w:rsidR="000A11F9" w:rsidRPr="005F515F" w:rsidRDefault="000A11F9" w:rsidP="006E2770">
            <w:pPr>
              <w:spacing w:after="0"/>
              <w:ind w:left="43"/>
              <w:jc w:val="center"/>
              <w:rPr>
                <w:rFonts w:cs="David"/>
                <w:b w:val="0"/>
                <w:bCs w:val="0"/>
                <w:color w:val="17365D"/>
                <w:sz w:val="24"/>
                <w:szCs w:val="24"/>
                <w:rtl/>
              </w:rPr>
            </w:pPr>
            <w:r w:rsidRPr="005F515F">
              <w:rPr>
                <w:rFonts w:cs="David" w:hint="cs"/>
                <w:b w:val="0"/>
                <w:bCs w:val="0"/>
                <w:color w:val="17365D"/>
                <w:sz w:val="24"/>
                <w:szCs w:val="24"/>
                <w:rtl/>
              </w:rPr>
              <w:t>גליובלסטומה</w:t>
            </w:r>
          </w:p>
        </w:tc>
        <w:tc>
          <w:tcPr>
            <w:tcW w:w="2977" w:type="dxa"/>
          </w:tcPr>
          <w:p w:rsidR="000A11F9" w:rsidRDefault="000A11F9" w:rsidP="006E2770">
            <w:pPr>
              <w:spacing w:after="0"/>
              <w:ind w:left="43"/>
              <w:jc w:val="center"/>
              <w:cnfStyle w:val="000000100000" w:firstRow="0" w:lastRow="0" w:firstColumn="0" w:lastColumn="0" w:oddVBand="0" w:evenVBand="0" w:oddHBand="1" w:evenHBand="0" w:firstRowFirstColumn="0" w:firstRowLastColumn="0" w:lastRowFirstColumn="0" w:lastRowLastColumn="0"/>
              <w:rPr>
                <w:rFonts w:cs="David"/>
                <w:color w:val="17365D"/>
                <w:sz w:val="24"/>
                <w:szCs w:val="24"/>
                <w:rtl/>
              </w:rPr>
            </w:pPr>
            <w:r>
              <w:rPr>
                <w:rFonts w:cs="David" w:hint="cs"/>
                <w:color w:val="17365D"/>
                <w:sz w:val="24"/>
                <w:szCs w:val="24"/>
                <w:rtl/>
              </w:rPr>
              <w:t>944</w:t>
            </w:r>
          </w:p>
        </w:tc>
        <w:tc>
          <w:tcPr>
            <w:tcW w:w="2977" w:type="dxa"/>
          </w:tcPr>
          <w:p w:rsidR="000A11F9" w:rsidRDefault="00F53462" w:rsidP="006E2770">
            <w:pPr>
              <w:spacing w:after="0"/>
              <w:ind w:left="43"/>
              <w:jc w:val="center"/>
              <w:cnfStyle w:val="000000100000" w:firstRow="0" w:lastRow="0" w:firstColumn="0" w:lastColumn="0" w:oddVBand="0" w:evenVBand="0" w:oddHBand="1" w:evenHBand="0" w:firstRowFirstColumn="0" w:firstRowLastColumn="0" w:lastRowFirstColumn="0" w:lastRowLastColumn="0"/>
              <w:rPr>
                <w:rFonts w:cs="David"/>
                <w:color w:val="17365D"/>
                <w:sz w:val="24"/>
                <w:szCs w:val="24"/>
                <w:rtl/>
              </w:rPr>
            </w:pPr>
            <w:r>
              <w:rPr>
                <w:rFonts w:cs="David" w:hint="cs"/>
                <w:color w:val="17365D"/>
                <w:sz w:val="24"/>
                <w:szCs w:val="24"/>
                <w:rtl/>
              </w:rPr>
              <w:t>אסטרוציטומה בדרגת ממאירות גבוהה</w:t>
            </w:r>
          </w:p>
        </w:tc>
      </w:tr>
      <w:tr w:rsidR="000A11F9" w:rsidTr="00F53462">
        <w:trPr>
          <w:cantSplit/>
        </w:trPr>
        <w:tc>
          <w:tcPr>
            <w:cnfStyle w:val="001000000000" w:firstRow="0" w:lastRow="0" w:firstColumn="1" w:lastColumn="0" w:oddVBand="0" w:evenVBand="0" w:oddHBand="0" w:evenHBand="0" w:firstRowFirstColumn="0" w:firstRowLastColumn="0" w:lastRowFirstColumn="0" w:lastRowLastColumn="0"/>
            <w:tcW w:w="2376" w:type="dxa"/>
          </w:tcPr>
          <w:p w:rsidR="000A11F9" w:rsidRPr="005F515F" w:rsidRDefault="000A11F9" w:rsidP="006E2770">
            <w:pPr>
              <w:spacing w:after="0"/>
              <w:ind w:left="43"/>
              <w:jc w:val="center"/>
              <w:rPr>
                <w:rFonts w:cs="David"/>
                <w:b w:val="0"/>
                <w:bCs w:val="0"/>
                <w:color w:val="17365D"/>
                <w:sz w:val="24"/>
                <w:szCs w:val="24"/>
                <w:rtl/>
              </w:rPr>
            </w:pPr>
            <w:r w:rsidRPr="005F515F">
              <w:rPr>
                <w:rFonts w:cs="David" w:hint="cs"/>
                <w:b w:val="0"/>
                <w:bCs w:val="0"/>
                <w:color w:val="17365D"/>
                <w:sz w:val="24"/>
                <w:szCs w:val="24"/>
                <w:rtl/>
              </w:rPr>
              <w:t>אסטרוציטומה</w:t>
            </w:r>
          </w:p>
        </w:tc>
        <w:tc>
          <w:tcPr>
            <w:tcW w:w="2977" w:type="dxa"/>
          </w:tcPr>
          <w:p w:rsidR="000A11F9" w:rsidRDefault="000A11F9" w:rsidP="006E2770">
            <w:pPr>
              <w:spacing w:after="0"/>
              <w:ind w:left="43"/>
              <w:jc w:val="center"/>
              <w:cnfStyle w:val="000000000000" w:firstRow="0" w:lastRow="0" w:firstColumn="0" w:lastColumn="0" w:oddVBand="0" w:evenVBand="0" w:oddHBand="0" w:evenHBand="0" w:firstRowFirstColumn="0" w:firstRowLastColumn="0" w:lastRowFirstColumn="0" w:lastRowLastColumn="0"/>
              <w:rPr>
                <w:rFonts w:cs="David"/>
                <w:color w:val="17365D"/>
                <w:sz w:val="24"/>
                <w:szCs w:val="24"/>
                <w:rtl/>
              </w:rPr>
            </w:pPr>
            <w:r>
              <w:rPr>
                <w:rFonts w:cs="David" w:hint="cs"/>
                <w:color w:val="17365D"/>
                <w:sz w:val="24"/>
                <w:szCs w:val="24"/>
                <w:rtl/>
              </w:rPr>
              <w:t>940, 941, 942</w:t>
            </w:r>
          </w:p>
        </w:tc>
        <w:tc>
          <w:tcPr>
            <w:tcW w:w="2977" w:type="dxa"/>
          </w:tcPr>
          <w:p w:rsidR="000A11F9" w:rsidRDefault="00F53462" w:rsidP="006E2770">
            <w:pPr>
              <w:spacing w:after="0"/>
              <w:ind w:left="43"/>
              <w:jc w:val="center"/>
              <w:cnfStyle w:val="000000000000" w:firstRow="0" w:lastRow="0" w:firstColumn="0" w:lastColumn="0" w:oddVBand="0" w:evenVBand="0" w:oddHBand="0" w:evenHBand="0" w:firstRowFirstColumn="0" w:firstRowLastColumn="0" w:lastRowFirstColumn="0" w:lastRowLastColumn="0"/>
              <w:rPr>
                <w:rFonts w:cs="David"/>
                <w:color w:val="17365D"/>
                <w:sz w:val="24"/>
                <w:szCs w:val="24"/>
                <w:rtl/>
              </w:rPr>
            </w:pPr>
            <w:r>
              <w:rPr>
                <w:rFonts w:cs="David" w:hint="cs"/>
                <w:color w:val="17365D"/>
                <w:sz w:val="24"/>
                <w:szCs w:val="24"/>
                <w:rtl/>
              </w:rPr>
              <w:t>גידול ממקור תאי התמך במח</w:t>
            </w:r>
          </w:p>
        </w:tc>
      </w:tr>
      <w:tr w:rsidR="000A11F9" w:rsidTr="00F534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76" w:type="dxa"/>
          </w:tcPr>
          <w:p w:rsidR="000A11F9" w:rsidRPr="005F515F" w:rsidRDefault="000A11F9" w:rsidP="006E2770">
            <w:pPr>
              <w:spacing w:after="0"/>
              <w:ind w:left="43"/>
              <w:jc w:val="center"/>
              <w:rPr>
                <w:rFonts w:cs="David"/>
                <w:b w:val="0"/>
                <w:bCs w:val="0"/>
                <w:color w:val="17365D"/>
                <w:sz w:val="24"/>
                <w:szCs w:val="24"/>
                <w:rtl/>
              </w:rPr>
            </w:pPr>
            <w:r w:rsidRPr="005F515F">
              <w:rPr>
                <w:rFonts w:cs="David" w:hint="cs"/>
                <w:b w:val="0"/>
                <w:bCs w:val="0"/>
                <w:color w:val="17365D"/>
                <w:sz w:val="24"/>
                <w:szCs w:val="24"/>
                <w:rtl/>
              </w:rPr>
              <w:t>גליומות אחרות</w:t>
            </w:r>
          </w:p>
        </w:tc>
        <w:tc>
          <w:tcPr>
            <w:tcW w:w="2977" w:type="dxa"/>
          </w:tcPr>
          <w:p w:rsidR="000A11F9" w:rsidRDefault="000A11F9" w:rsidP="006E2770">
            <w:pPr>
              <w:spacing w:after="0"/>
              <w:ind w:left="43"/>
              <w:jc w:val="center"/>
              <w:cnfStyle w:val="000000100000" w:firstRow="0" w:lastRow="0" w:firstColumn="0" w:lastColumn="0" w:oddVBand="0" w:evenVBand="0" w:oddHBand="1" w:evenHBand="0" w:firstRowFirstColumn="0" w:firstRowLastColumn="0" w:lastRowFirstColumn="0" w:lastRowLastColumn="0"/>
              <w:rPr>
                <w:rFonts w:cs="David"/>
                <w:color w:val="17365D"/>
                <w:sz w:val="24"/>
                <w:szCs w:val="24"/>
                <w:rtl/>
              </w:rPr>
            </w:pPr>
            <w:r>
              <w:rPr>
                <w:rFonts w:cs="David" w:hint="cs"/>
                <w:color w:val="17365D"/>
                <w:sz w:val="24"/>
                <w:szCs w:val="24"/>
                <w:rtl/>
              </w:rPr>
              <w:t>938, 939, 943, 944, 945, 946, 947, 948</w:t>
            </w:r>
          </w:p>
        </w:tc>
        <w:tc>
          <w:tcPr>
            <w:tcW w:w="2977" w:type="dxa"/>
          </w:tcPr>
          <w:p w:rsidR="000A11F9" w:rsidRDefault="00F53462" w:rsidP="006E2770">
            <w:pPr>
              <w:spacing w:after="0"/>
              <w:ind w:left="43"/>
              <w:jc w:val="center"/>
              <w:cnfStyle w:val="000000100000" w:firstRow="0" w:lastRow="0" w:firstColumn="0" w:lastColumn="0" w:oddVBand="0" w:evenVBand="0" w:oddHBand="1" w:evenHBand="0" w:firstRowFirstColumn="0" w:firstRowLastColumn="0" w:lastRowFirstColumn="0" w:lastRowLastColumn="0"/>
              <w:rPr>
                <w:rFonts w:cs="David"/>
                <w:color w:val="17365D"/>
                <w:sz w:val="24"/>
                <w:szCs w:val="24"/>
                <w:rtl/>
              </w:rPr>
            </w:pPr>
            <w:r>
              <w:rPr>
                <w:rFonts w:cs="David" w:hint="cs"/>
                <w:color w:val="17365D"/>
                <w:sz w:val="24"/>
                <w:szCs w:val="24"/>
                <w:rtl/>
              </w:rPr>
              <w:t>גידול ממקור תאי התמך במח</w:t>
            </w:r>
          </w:p>
        </w:tc>
      </w:tr>
      <w:tr w:rsidR="000A11F9" w:rsidTr="00F53462">
        <w:trPr>
          <w:cantSplit/>
        </w:trPr>
        <w:tc>
          <w:tcPr>
            <w:cnfStyle w:val="001000000000" w:firstRow="0" w:lastRow="0" w:firstColumn="1" w:lastColumn="0" w:oddVBand="0" w:evenVBand="0" w:oddHBand="0" w:evenHBand="0" w:firstRowFirstColumn="0" w:firstRowLastColumn="0" w:lastRowFirstColumn="0" w:lastRowLastColumn="0"/>
            <w:tcW w:w="2376" w:type="dxa"/>
          </w:tcPr>
          <w:p w:rsidR="000A11F9" w:rsidRPr="005F515F" w:rsidRDefault="000A11F9" w:rsidP="006E2770">
            <w:pPr>
              <w:spacing w:after="0"/>
              <w:ind w:left="43"/>
              <w:jc w:val="center"/>
              <w:rPr>
                <w:rFonts w:cs="David"/>
                <w:b w:val="0"/>
                <w:bCs w:val="0"/>
                <w:color w:val="17365D"/>
                <w:sz w:val="24"/>
                <w:szCs w:val="24"/>
                <w:rtl/>
              </w:rPr>
            </w:pPr>
            <w:r w:rsidRPr="005F515F">
              <w:rPr>
                <w:rFonts w:cs="David" w:hint="cs"/>
                <w:b w:val="0"/>
                <w:bCs w:val="0"/>
                <w:color w:val="17365D"/>
                <w:sz w:val="24"/>
                <w:szCs w:val="24"/>
                <w:rtl/>
              </w:rPr>
              <w:t>נוירומה אקוסטית</w:t>
            </w:r>
          </w:p>
        </w:tc>
        <w:tc>
          <w:tcPr>
            <w:tcW w:w="2977" w:type="dxa"/>
          </w:tcPr>
          <w:p w:rsidR="000A11F9" w:rsidRDefault="00432A0E" w:rsidP="006E2770">
            <w:pPr>
              <w:spacing w:after="0"/>
              <w:ind w:left="43"/>
              <w:jc w:val="center"/>
              <w:cnfStyle w:val="000000000000" w:firstRow="0" w:lastRow="0" w:firstColumn="0" w:lastColumn="0" w:oddVBand="0" w:evenVBand="0" w:oddHBand="0" w:evenHBand="0" w:firstRowFirstColumn="0" w:firstRowLastColumn="0" w:lastRowFirstColumn="0" w:lastRowLastColumn="0"/>
              <w:rPr>
                <w:rFonts w:cs="David"/>
                <w:color w:val="17365D"/>
                <w:sz w:val="24"/>
                <w:szCs w:val="24"/>
                <w:rtl/>
              </w:rPr>
            </w:pPr>
            <w:r>
              <w:rPr>
                <w:rFonts w:cs="David" w:hint="cs"/>
                <w:color w:val="17365D"/>
                <w:sz w:val="24"/>
                <w:szCs w:val="24"/>
                <w:rtl/>
              </w:rPr>
              <w:t>95600</w:t>
            </w:r>
          </w:p>
        </w:tc>
        <w:tc>
          <w:tcPr>
            <w:tcW w:w="2977" w:type="dxa"/>
          </w:tcPr>
          <w:p w:rsidR="000A11F9" w:rsidRDefault="00432A0E" w:rsidP="006E2770">
            <w:pPr>
              <w:spacing w:after="0"/>
              <w:ind w:left="43"/>
              <w:jc w:val="center"/>
              <w:cnfStyle w:val="000000000000" w:firstRow="0" w:lastRow="0" w:firstColumn="0" w:lastColumn="0" w:oddVBand="0" w:evenVBand="0" w:oddHBand="0" w:evenHBand="0" w:firstRowFirstColumn="0" w:firstRowLastColumn="0" w:lastRowFirstColumn="0" w:lastRowLastColumn="0"/>
              <w:rPr>
                <w:rFonts w:cs="David"/>
                <w:color w:val="17365D"/>
                <w:sz w:val="24"/>
                <w:szCs w:val="24"/>
                <w:rtl/>
              </w:rPr>
            </w:pPr>
            <w:r>
              <w:rPr>
                <w:rFonts w:cs="David" w:hint="cs"/>
                <w:color w:val="17365D"/>
                <w:sz w:val="24"/>
                <w:szCs w:val="24"/>
                <w:rtl/>
              </w:rPr>
              <w:t>גידול של עצב השמע</w:t>
            </w:r>
          </w:p>
        </w:tc>
      </w:tr>
      <w:tr w:rsidR="000A11F9" w:rsidTr="00F534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76" w:type="dxa"/>
          </w:tcPr>
          <w:p w:rsidR="000A11F9" w:rsidRPr="005F515F" w:rsidRDefault="000A11F9" w:rsidP="006E2770">
            <w:pPr>
              <w:spacing w:after="0"/>
              <w:ind w:left="43"/>
              <w:jc w:val="center"/>
              <w:rPr>
                <w:rFonts w:cs="David"/>
                <w:b w:val="0"/>
                <w:bCs w:val="0"/>
                <w:color w:val="17365D"/>
                <w:sz w:val="24"/>
                <w:szCs w:val="24"/>
                <w:rtl/>
              </w:rPr>
            </w:pPr>
            <w:r w:rsidRPr="005F515F">
              <w:rPr>
                <w:rFonts w:cs="David" w:hint="cs"/>
                <w:b w:val="0"/>
                <w:bCs w:val="0"/>
                <w:color w:val="17365D"/>
                <w:sz w:val="24"/>
                <w:szCs w:val="24"/>
                <w:rtl/>
              </w:rPr>
              <w:t>אדנומה של יותרת המוח</w:t>
            </w:r>
          </w:p>
        </w:tc>
        <w:tc>
          <w:tcPr>
            <w:tcW w:w="2977" w:type="dxa"/>
          </w:tcPr>
          <w:p w:rsidR="000A11F9" w:rsidRDefault="00432A0E" w:rsidP="006E2770">
            <w:pPr>
              <w:spacing w:after="0"/>
              <w:ind w:left="43"/>
              <w:jc w:val="center"/>
              <w:cnfStyle w:val="000000100000" w:firstRow="0" w:lastRow="0" w:firstColumn="0" w:lastColumn="0" w:oddVBand="0" w:evenVBand="0" w:oddHBand="1" w:evenHBand="0" w:firstRowFirstColumn="0" w:firstRowLastColumn="0" w:lastRowFirstColumn="0" w:lastRowLastColumn="0"/>
              <w:rPr>
                <w:rFonts w:cs="David"/>
                <w:color w:val="17365D"/>
                <w:sz w:val="24"/>
                <w:szCs w:val="24"/>
                <w:rtl/>
              </w:rPr>
            </w:pPr>
            <w:r>
              <w:rPr>
                <w:rFonts w:cs="David" w:hint="cs"/>
                <w:color w:val="17365D"/>
                <w:sz w:val="24"/>
                <w:szCs w:val="24"/>
                <w:rtl/>
              </w:rPr>
              <w:t>82720</w:t>
            </w:r>
          </w:p>
        </w:tc>
        <w:tc>
          <w:tcPr>
            <w:tcW w:w="2977" w:type="dxa"/>
          </w:tcPr>
          <w:p w:rsidR="000A11F9" w:rsidRDefault="00432A0E" w:rsidP="006E2770">
            <w:pPr>
              <w:spacing w:after="0"/>
              <w:ind w:left="43"/>
              <w:jc w:val="center"/>
              <w:cnfStyle w:val="000000100000" w:firstRow="0" w:lastRow="0" w:firstColumn="0" w:lastColumn="0" w:oddVBand="0" w:evenVBand="0" w:oddHBand="1" w:evenHBand="0" w:firstRowFirstColumn="0" w:firstRowLastColumn="0" w:lastRowFirstColumn="0" w:lastRowLastColumn="0"/>
              <w:rPr>
                <w:rFonts w:cs="David"/>
                <w:color w:val="17365D"/>
                <w:sz w:val="24"/>
                <w:szCs w:val="24"/>
                <w:rtl/>
              </w:rPr>
            </w:pPr>
            <w:r>
              <w:rPr>
                <w:rFonts w:cs="David" w:hint="cs"/>
                <w:color w:val="17365D"/>
                <w:sz w:val="24"/>
                <w:szCs w:val="24"/>
                <w:rtl/>
              </w:rPr>
              <w:t>גידול של בלוטת יותרת המוח (היפופיזה)</w:t>
            </w:r>
          </w:p>
        </w:tc>
      </w:tr>
      <w:tr w:rsidR="000A11F9" w:rsidTr="00F53462">
        <w:trPr>
          <w:cantSplit/>
        </w:trPr>
        <w:tc>
          <w:tcPr>
            <w:cnfStyle w:val="001000000000" w:firstRow="0" w:lastRow="0" w:firstColumn="1" w:lastColumn="0" w:oddVBand="0" w:evenVBand="0" w:oddHBand="0" w:evenHBand="0" w:firstRowFirstColumn="0" w:firstRowLastColumn="0" w:lastRowFirstColumn="0" w:lastRowLastColumn="0"/>
            <w:tcW w:w="2376" w:type="dxa"/>
          </w:tcPr>
          <w:p w:rsidR="000A11F9" w:rsidRPr="005F515F" w:rsidRDefault="000A11F9" w:rsidP="006E2770">
            <w:pPr>
              <w:spacing w:after="0"/>
              <w:ind w:left="43"/>
              <w:jc w:val="center"/>
              <w:rPr>
                <w:rFonts w:cs="David"/>
                <w:b w:val="0"/>
                <w:bCs w:val="0"/>
                <w:color w:val="17365D"/>
                <w:sz w:val="24"/>
                <w:szCs w:val="24"/>
                <w:rtl/>
              </w:rPr>
            </w:pPr>
            <w:r w:rsidRPr="005F515F">
              <w:rPr>
                <w:rFonts w:cs="David" w:hint="cs"/>
                <w:b w:val="0"/>
                <w:bCs w:val="0"/>
                <w:color w:val="17365D"/>
                <w:sz w:val="24"/>
                <w:szCs w:val="24"/>
                <w:rtl/>
              </w:rPr>
              <w:t>מנינגיומה</w:t>
            </w:r>
          </w:p>
        </w:tc>
        <w:tc>
          <w:tcPr>
            <w:tcW w:w="2977" w:type="dxa"/>
          </w:tcPr>
          <w:p w:rsidR="000A11F9" w:rsidRDefault="00432A0E" w:rsidP="006E2770">
            <w:pPr>
              <w:spacing w:after="0"/>
              <w:ind w:left="43"/>
              <w:jc w:val="center"/>
              <w:cnfStyle w:val="000000000000" w:firstRow="0" w:lastRow="0" w:firstColumn="0" w:lastColumn="0" w:oddVBand="0" w:evenVBand="0" w:oddHBand="0" w:evenHBand="0" w:firstRowFirstColumn="0" w:firstRowLastColumn="0" w:lastRowFirstColumn="0" w:lastRowLastColumn="0"/>
              <w:rPr>
                <w:rFonts w:cs="David"/>
                <w:color w:val="17365D"/>
                <w:sz w:val="24"/>
                <w:szCs w:val="24"/>
                <w:rtl/>
              </w:rPr>
            </w:pPr>
            <w:r>
              <w:rPr>
                <w:rFonts w:cs="David" w:hint="cs"/>
                <w:color w:val="17365D"/>
                <w:sz w:val="24"/>
                <w:szCs w:val="24"/>
                <w:rtl/>
              </w:rPr>
              <w:t>953</w:t>
            </w:r>
          </w:p>
        </w:tc>
        <w:tc>
          <w:tcPr>
            <w:tcW w:w="2977" w:type="dxa"/>
          </w:tcPr>
          <w:p w:rsidR="000A11F9" w:rsidRDefault="00432A0E" w:rsidP="006E2770">
            <w:pPr>
              <w:spacing w:after="0"/>
              <w:ind w:left="43"/>
              <w:jc w:val="center"/>
              <w:cnfStyle w:val="000000000000" w:firstRow="0" w:lastRow="0" w:firstColumn="0" w:lastColumn="0" w:oddVBand="0" w:evenVBand="0" w:oddHBand="0" w:evenHBand="0" w:firstRowFirstColumn="0" w:firstRowLastColumn="0" w:lastRowFirstColumn="0" w:lastRowLastColumn="0"/>
              <w:rPr>
                <w:rFonts w:cs="David"/>
                <w:color w:val="17365D"/>
                <w:sz w:val="24"/>
                <w:szCs w:val="24"/>
                <w:rtl/>
              </w:rPr>
            </w:pPr>
            <w:r>
              <w:rPr>
                <w:rFonts w:cs="David" w:hint="cs"/>
                <w:color w:val="17365D"/>
                <w:sz w:val="24"/>
                <w:szCs w:val="24"/>
                <w:rtl/>
              </w:rPr>
              <w:t>גידול של קרומי המוח</w:t>
            </w:r>
          </w:p>
        </w:tc>
      </w:tr>
      <w:tr w:rsidR="000A11F9" w:rsidTr="00F534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76" w:type="dxa"/>
          </w:tcPr>
          <w:p w:rsidR="000A11F9" w:rsidRPr="005F515F" w:rsidRDefault="000A11F9" w:rsidP="006E2770">
            <w:pPr>
              <w:spacing w:after="0"/>
              <w:ind w:left="43"/>
              <w:jc w:val="center"/>
              <w:rPr>
                <w:rFonts w:cs="David"/>
                <w:b w:val="0"/>
                <w:bCs w:val="0"/>
                <w:color w:val="17365D"/>
                <w:sz w:val="24"/>
                <w:szCs w:val="24"/>
                <w:rtl/>
              </w:rPr>
            </w:pPr>
            <w:r w:rsidRPr="005F515F">
              <w:rPr>
                <w:rFonts w:cs="David" w:hint="cs"/>
                <w:b w:val="0"/>
                <w:bCs w:val="0"/>
                <w:color w:val="17365D"/>
                <w:sz w:val="24"/>
                <w:szCs w:val="24"/>
                <w:rtl/>
              </w:rPr>
              <w:t>גידול בכלי הדם</w:t>
            </w:r>
          </w:p>
        </w:tc>
        <w:tc>
          <w:tcPr>
            <w:tcW w:w="2977" w:type="dxa"/>
          </w:tcPr>
          <w:p w:rsidR="000A11F9" w:rsidRDefault="00432A0E" w:rsidP="006E2770">
            <w:pPr>
              <w:spacing w:after="0"/>
              <w:ind w:left="43"/>
              <w:jc w:val="center"/>
              <w:cnfStyle w:val="000000100000" w:firstRow="0" w:lastRow="0" w:firstColumn="0" w:lastColumn="0" w:oddVBand="0" w:evenVBand="0" w:oddHBand="1" w:evenHBand="0" w:firstRowFirstColumn="0" w:firstRowLastColumn="0" w:lastRowFirstColumn="0" w:lastRowLastColumn="0"/>
              <w:rPr>
                <w:rFonts w:cs="David"/>
                <w:color w:val="17365D"/>
                <w:sz w:val="24"/>
                <w:szCs w:val="24"/>
                <w:rtl/>
              </w:rPr>
            </w:pPr>
            <w:r>
              <w:rPr>
                <w:rFonts w:cs="David" w:hint="cs"/>
                <w:color w:val="17365D"/>
                <w:sz w:val="24"/>
                <w:szCs w:val="24"/>
                <w:rtl/>
              </w:rPr>
              <w:t>912, 913, 914, 915, 916</w:t>
            </w:r>
          </w:p>
        </w:tc>
        <w:tc>
          <w:tcPr>
            <w:tcW w:w="2977" w:type="dxa"/>
          </w:tcPr>
          <w:p w:rsidR="000A11F9" w:rsidRDefault="00FD3850" w:rsidP="006E2770">
            <w:pPr>
              <w:spacing w:after="0"/>
              <w:ind w:left="43"/>
              <w:jc w:val="center"/>
              <w:cnfStyle w:val="000000100000" w:firstRow="0" w:lastRow="0" w:firstColumn="0" w:lastColumn="0" w:oddVBand="0" w:evenVBand="0" w:oddHBand="1" w:evenHBand="0" w:firstRowFirstColumn="0" w:firstRowLastColumn="0" w:lastRowFirstColumn="0" w:lastRowLastColumn="0"/>
              <w:rPr>
                <w:rFonts w:cs="David"/>
                <w:color w:val="17365D"/>
                <w:sz w:val="24"/>
                <w:szCs w:val="24"/>
                <w:rtl/>
              </w:rPr>
            </w:pPr>
            <w:r>
              <w:rPr>
                <w:rFonts w:cs="David" w:hint="cs"/>
                <w:color w:val="17365D"/>
                <w:sz w:val="24"/>
                <w:szCs w:val="24"/>
                <w:rtl/>
              </w:rPr>
              <w:t>גידול בכלי הדם במח</w:t>
            </w:r>
          </w:p>
        </w:tc>
      </w:tr>
      <w:tr w:rsidR="000A11F9" w:rsidTr="00F53462">
        <w:trPr>
          <w:cantSplit/>
        </w:trPr>
        <w:tc>
          <w:tcPr>
            <w:cnfStyle w:val="001000000000" w:firstRow="0" w:lastRow="0" w:firstColumn="1" w:lastColumn="0" w:oddVBand="0" w:evenVBand="0" w:oddHBand="0" w:evenHBand="0" w:firstRowFirstColumn="0" w:firstRowLastColumn="0" w:lastRowFirstColumn="0" w:lastRowLastColumn="0"/>
            <w:tcW w:w="2376" w:type="dxa"/>
          </w:tcPr>
          <w:p w:rsidR="000A11F9" w:rsidRPr="005F515F" w:rsidRDefault="000A11F9" w:rsidP="006E2770">
            <w:pPr>
              <w:spacing w:after="0"/>
              <w:ind w:left="43"/>
              <w:jc w:val="center"/>
              <w:rPr>
                <w:rFonts w:cs="David"/>
                <w:b w:val="0"/>
                <w:bCs w:val="0"/>
                <w:color w:val="17365D"/>
                <w:sz w:val="24"/>
                <w:szCs w:val="24"/>
                <w:rtl/>
              </w:rPr>
            </w:pPr>
            <w:r w:rsidRPr="005F515F">
              <w:rPr>
                <w:rFonts w:cs="David" w:hint="cs"/>
                <w:b w:val="0"/>
                <w:bCs w:val="0"/>
                <w:color w:val="17365D"/>
                <w:sz w:val="24"/>
                <w:szCs w:val="24"/>
                <w:rtl/>
              </w:rPr>
              <w:t>אחר</w:t>
            </w:r>
          </w:p>
        </w:tc>
        <w:tc>
          <w:tcPr>
            <w:tcW w:w="2977" w:type="dxa"/>
          </w:tcPr>
          <w:p w:rsidR="000A11F9" w:rsidRDefault="009D38C5" w:rsidP="006E2770">
            <w:pPr>
              <w:spacing w:after="0"/>
              <w:ind w:left="43"/>
              <w:jc w:val="center"/>
              <w:cnfStyle w:val="000000000000" w:firstRow="0" w:lastRow="0" w:firstColumn="0" w:lastColumn="0" w:oddVBand="0" w:evenVBand="0" w:oddHBand="0" w:evenHBand="0" w:firstRowFirstColumn="0" w:firstRowLastColumn="0" w:lastRowFirstColumn="0" w:lastRowLastColumn="0"/>
              <w:rPr>
                <w:rFonts w:cs="David"/>
                <w:color w:val="17365D"/>
                <w:sz w:val="24"/>
                <w:szCs w:val="24"/>
                <w:rtl/>
              </w:rPr>
            </w:pPr>
            <w:r>
              <w:rPr>
                <w:rFonts w:cs="David" w:hint="cs"/>
                <w:color w:val="17365D"/>
                <w:sz w:val="24"/>
                <w:szCs w:val="24"/>
                <w:rtl/>
              </w:rPr>
              <w:t>(פירוט בנספח)</w:t>
            </w:r>
          </w:p>
        </w:tc>
        <w:tc>
          <w:tcPr>
            <w:tcW w:w="2977" w:type="dxa"/>
          </w:tcPr>
          <w:p w:rsidR="000A11F9" w:rsidRDefault="00432A0E" w:rsidP="006E2770">
            <w:pPr>
              <w:spacing w:after="0"/>
              <w:ind w:left="43"/>
              <w:jc w:val="center"/>
              <w:cnfStyle w:val="000000000000" w:firstRow="0" w:lastRow="0" w:firstColumn="0" w:lastColumn="0" w:oddVBand="0" w:evenVBand="0" w:oddHBand="0" w:evenHBand="0" w:firstRowFirstColumn="0" w:firstRowLastColumn="0" w:lastRowFirstColumn="0" w:lastRowLastColumn="0"/>
              <w:rPr>
                <w:rFonts w:cs="David"/>
                <w:color w:val="17365D"/>
                <w:sz w:val="24"/>
                <w:szCs w:val="24"/>
                <w:rtl/>
              </w:rPr>
            </w:pPr>
            <w:r>
              <w:rPr>
                <w:rFonts w:cs="David" w:hint="cs"/>
                <w:color w:val="17365D"/>
                <w:sz w:val="24"/>
                <w:szCs w:val="24"/>
                <w:rtl/>
              </w:rPr>
              <w:t>כל שאר האבחנות הרלבנטיות</w:t>
            </w:r>
          </w:p>
        </w:tc>
      </w:tr>
    </w:tbl>
    <w:p w:rsidR="00D952C8" w:rsidRDefault="00D952C8" w:rsidP="006E2770">
      <w:pPr>
        <w:spacing w:after="0"/>
        <w:ind w:left="43"/>
        <w:jc w:val="both"/>
        <w:rPr>
          <w:rFonts w:cs="David"/>
          <w:color w:val="17365D"/>
          <w:sz w:val="24"/>
          <w:szCs w:val="24"/>
          <w:rtl/>
        </w:rPr>
      </w:pPr>
    </w:p>
    <w:p w:rsidR="00FD3850" w:rsidRDefault="00FD3850" w:rsidP="009C2F2C">
      <w:pPr>
        <w:spacing w:after="0"/>
        <w:ind w:left="43"/>
        <w:jc w:val="both"/>
        <w:rPr>
          <w:rFonts w:cs="David"/>
          <w:color w:val="17365D"/>
          <w:sz w:val="24"/>
          <w:szCs w:val="24"/>
          <w:rtl/>
        </w:rPr>
      </w:pPr>
      <w:r>
        <w:rPr>
          <w:rFonts w:cs="David" w:hint="cs"/>
          <w:color w:val="17365D"/>
          <w:sz w:val="24"/>
          <w:szCs w:val="24"/>
          <w:rtl/>
        </w:rPr>
        <w:t>עיבוד הנתונים נעשה לחוד עבור גידולי מח ממאירים ועבור גידולים שפירים</w:t>
      </w:r>
      <w:r w:rsidR="009D38C5">
        <w:rPr>
          <w:rFonts w:cs="David" w:hint="cs"/>
          <w:color w:val="17365D"/>
          <w:sz w:val="24"/>
          <w:szCs w:val="24"/>
          <w:rtl/>
        </w:rPr>
        <w:t>/</w:t>
      </w:r>
      <w:r>
        <w:rPr>
          <w:rFonts w:cs="David" w:hint="cs"/>
          <w:color w:val="17365D"/>
          <w:sz w:val="24"/>
          <w:szCs w:val="24"/>
          <w:rtl/>
        </w:rPr>
        <w:t xml:space="preserve">בעלי התנהגות לא ברורה </w:t>
      </w:r>
      <w:r>
        <w:rPr>
          <w:rFonts w:cs="David"/>
          <w:color w:val="17365D"/>
          <w:sz w:val="24"/>
          <w:szCs w:val="24"/>
        </w:rPr>
        <w:t>(uncertain behavior)</w:t>
      </w:r>
      <w:r>
        <w:rPr>
          <w:rFonts w:cs="David" w:hint="cs"/>
          <w:color w:val="17365D"/>
          <w:sz w:val="24"/>
          <w:szCs w:val="24"/>
          <w:rtl/>
        </w:rPr>
        <w:t>. לכל אחת מהקבוצות חושב שי</w:t>
      </w:r>
      <w:r w:rsidR="00432A0E">
        <w:rPr>
          <w:rFonts w:cs="David" w:hint="cs"/>
          <w:color w:val="17365D"/>
          <w:sz w:val="24"/>
          <w:szCs w:val="24"/>
          <w:rtl/>
        </w:rPr>
        <w:t xml:space="preserve">עור היארעות מתוקנן לגיל עבור כל שנה קלנדרית בין 1990 ו-2014. המגמות העתיות נבחנו באמצעות תוכנת </w:t>
      </w:r>
      <w:proofErr w:type="spellStart"/>
      <w:r w:rsidR="00432A0E">
        <w:rPr>
          <w:rFonts w:cs="David"/>
          <w:color w:val="17365D"/>
          <w:sz w:val="24"/>
          <w:szCs w:val="24"/>
        </w:rPr>
        <w:t>Jointpoint</w:t>
      </w:r>
      <w:proofErr w:type="spellEnd"/>
      <w:r w:rsidR="00432A0E">
        <w:rPr>
          <w:rFonts w:cs="David" w:hint="cs"/>
          <w:color w:val="17365D"/>
          <w:sz w:val="24"/>
          <w:szCs w:val="24"/>
          <w:rtl/>
        </w:rPr>
        <w:t xml:space="preserve"> שמאפשרת לחשב את אחוז השינוי השנתי </w:t>
      </w:r>
      <w:r w:rsidR="00432A0E">
        <w:rPr>
          <w:rFonts w:cs="David"/>
          <w:color w:val="17365D"/>
          <w:sz w:val="24"/>
          <w:szCs w:val="24"/>
        </w:rPr>
        <w:t>(APC, Annual Percent Change)</w:t>
      </w:r>
      <w:r w:rsidR="00432A0E">
        <w:rPr>
          <w:rFonts w:cs="David" w:hint="cs"/>
          <w:color w:val="17365D"/>
          <w:sz w:val="24"/>
          <w:szCs w:val="24"/>
          <w:rtl/>
        </w:rPr>
        <w:t xml:space="preserve"> ואת מובהקות השינוי. נבחנו המגמות גם בצד הגידול, במידה ורלבנטי.</w:t>
      </w:r>
    </w:p>
    <w:p w:rsidR="00F53462" w:rsidRDefault="00F53462" w:rsidP="006E2770">
      <w:pPr>
        <w:spacing w:after="0"/>
        <w:ind w:left="43"/>
        <w:jc w:val="both"/>
        <w:rPr>
          <w:rFonts w:cs="David"/>
          <w:color w:val="17365D"/>
          <w:sz w:val="24"/>
          <w:szCs w:val="24"/>
        </w:rPr>
      </w:pPr>
    </w:p>
    <w:p w:rsidR="00893847" w:rsidRDefault="00893847" w:rsidP="006E2770">
      <w:pPr>
        <w:pStyle w:val="ad"/>
        <w:numPr>
          <w:ilvl w:val="0"/>
          <w:numId w:val="9"/>
        </w:numPr>
        <w:spacing w:after="0"/>
        <w:ind w:left="43" w:firstLine="0"/>
        <w:jc w:val="both"/>
        <w:rPr>
          <w:rFonts w:cs="David"/>
          <w:b/>
          <w:bCs/>
          <w:color w:val="17365D"/>
          <w:sz w:val="28"/>
          <w:szCs w:val="28"/>
        </w:rPr>
      </w:pPr>
      <w:r>
        <w:rPr>
          <w:rFonts w:cs="David" w:hint="cs"/>
          <w:b/>
          <w:bCs/>
          <w:color w:val="17365D"/>
          <w:sz w:val="28"/>
          <w:szCs w:val="28"/>
          <w:rtl/>
        </w:rPr>
        <w:t>תוצאות</w:t>
      </w:r>
    </w:p>
    <w:p w:rsidR="00976E7E" w:rsidRPr="00432A0E" w:rsidRDefault="00F53462" w:rsidP="006E2770">
      <w:pPr>
        <w:pStyle w:val="ad"/>
        <w:ind w:left="43"/>
        <w:rPr>
          <w:rFonts w:cs="David"/>
          <w:b/>
          <w:bCs/>
          <w:i/>
          <w:iCs/>
          <w:color w:val="17365D"/>
          <w:sz w:val="24"/>
          <w:szCs w:val="24"/>
          <w:rtl/>
        </w:rPr>
      </w:pPr>
      <w:r>
        <w:rPr>
          <w:rFonts w:cs="David" w:hint="cs"/>
          <w:b/>
          <w:bCs/>
          <w:i/>
          <w:iCs/>
          <w:color w:val="17365D"/>
          <w:sz w:val="24"/>
          <w:szCs w:val="24"/>
          <w:rtl/>
        </w:rPr>
        <w:t xml:space="preserve">4.1. </w:t>
      </w:r>
      <w:r w:rsidR="00432A0E" w:rsidRPr="00432A0E">
        <w:rPr>
          <w:rFonts w:cs="David" w:hint="cs"/>
          <w:b/>
          <w:bCs/>
          <w:i/>
          <w:iCs/>
          <w:color w:val="17365D"/>
          <w:sz w:val="24"/>
          <w:szCs w:val="24"/>
          <w:rtl/>
        </w:rPr>
        <w:t>כלל הגידולים</w:t>
      </w:r>
      <w:r w:rsidR="00432A0E">
        <w:rPr>
          <w:rFonts w:cs="David" w:hint="cs"/>
          <w:b/>
          <w:bCs/>
          <w:i/>
          <w:iCs/>
          <w:color w:val="17365D"/>
          <w:sz w:val="24"/>
          <w:szCs w:val="24"/>
          <w:rtl/>
        </w:rPr>
        <w:t xml:space="preserve"> </w:t>
      </w:r>
      <w:r w:rsidR="00432A0E" w:rsidRPr="000F1A0F">
        <w:rPr>
          <w:rFonts w:cs="David" w:hint="cs"/>
          <w:b/>
          <w:bCs/>
          <w:i/>
          <w:iCs/>
          <w:color w:val="17365D"/>
          <w:sz w:val="24"/>
          <w:szCs w:val="24"/>
          <w:rtl/>
        </w:rPr>
        <w:t>הממאירים</w:t>
      </w:r>
      <w:r w:rsidR="00432A0E">
        <w:rPr>
          <w:rFonts w:cs="David" w:hint="cs"/>
          <w:b/>
          <w:bCs/>
          <w:i/>
          <w:iCs/>
          <w:color w:val="17365D"/>
          <w:sz w:val="24"/>
          <w:szCs w:val="24"/>
          <w:rtl/>
        </w:rPr>
        <w:t xml:space="preserve"> </w:t>
      </w:r>
      <w:r w:rsidR="00432A0E" w:rsidRPr="00432A0E">
        <w:rPr>
          <w:rFonts w:cs="David" w:hint="cs"/>
          <w:b/>
          <w:bCs/>
          <w:i/>
          <w:iCs/>
          <w:color w:val="17365D"/>
          <w:sz w:val="24"/>
          <w:szCs w:val="24"/>
          <w:rtl/>
        </w:rPr>
        <w:t xml:space="preserve"> במח ובמערכת העצבים המרכזית</w:t>
      </w:r>
    </w:p>
    <w:p w:rsidR="00142E1E" w:rsidRDefault="00FD3850" w:rsidP="009D38C5">
      <w:pPr>
        <w:pStyle w:val="ad"/>
        <w:ind w:left="43"/>
        <w:jc w:val="both"/>
        <w:rPr>
          <w:rFonts w:cs="David"/>
          <w:color w:val="17365D"/>
          <w:sz w:val="24"/>
          <w:szCs w:val="24"/>
          <w:rtl/>
        </w:rPr>
      </w:pPr>
      <w:r w:rsidRPr="00FD3850">
        <w:rPr>
          <w:rFonts w:cs="David" w:hint="cs"/>
          <w:color w:val="17365D"/>
          <w:sz w:val="24"/>
          <w:szCs w:val="24"/>
          <w:rtl/>
        </w:rPr>
        <w:t xml:space="preserve">מדובר בגידולים </w:t>
      </w:r>
      <w:r>
        <w:rPr>
          <w:rFonts w:cs="David" w:hint="cs"/>
          <w:color w:val="17365D"/>
          <w:sz w:val="24"/>
          <w:szCs w:val="24"/>
          <w:rtl/>
        </w:rPr>
        <w:t xml:space="preserve">נדירים יחסית באוכלוסייה הישראלית. </w:t>
      </w:r>
      <w:r w:rsidRPr="000F1A0F">
        <w:rPr>
          <w:rFonts w:cs="David" w:hint="cs"/>
          <w:b/>
          <w:bCs/>
          <w:color w:val="17365D"/>
          <w:sz w:val="24"/>
          <w:szCs w:val="24"/>
          <w:rtl/>
        </w:rPr>
        <w:t>בין 1990 ו-2014 אובחנו בסה"כ</w:t>
      </w:r>
      <w:r w:rsidR="009D38C5" w:rsidRPr="000F1A0F">
        <w:rPr>
          <w:rFonts w:cs="David" w:hint="cs"/>
          <w:b/>
          <w:bCs/>
          <w:color w:val="17365D"/>
          <w:sz w:val="24"/>
          <w:szCs w:val="24"/>
          <w:rtl/>
        </w:rPr>
        <w:t xml:space="preserve"> 9,608</w:t>
      </w:r>
      <w:r w:rsidRPr="000F1A0F">
        <w:rPr>
          <w:rFonts w:cs="David" w:hint="cs"/>
          <w:b/>
          <w:bCs/>
          <w:color w:val="17365D"/>
          <w:sz w:val="24"/>
          <w:szCs w:val="24"/>
          <w:rtl/>
        </w:rPr>
        <w:t xml:space="preserve"> מקרים חדשים</w:t>
      </w:r>
      <w:r w:rsidR="000B49DB" w:rsidRPr="000F1A0F">
        <w:rPr>
          <w:rFonts w:cs="David" w:hint="cs"/>
          <w:b/>
          <w:bCs/>
          <w:color w:val="17365D"/>
          <w:sz w:val="24"/>
          <w:szCs w:val="24"/>
          <w:rtl/>
        </w:rPr>
        <w:t xml:space="preserve"> (כ-</w:t>
      </w:r>
      <w:r w:rsidR="009D38C5" w:rsidRPr="000F1A0F">
        <w:rPr>
          <w:rFonts w:cs="David" w:hint="cs"/>
          <w:b/>
          <w:bCs/>
          <w:color w:val="17365D"/>
          <w:sz w:val="24"/>
          <w:szCs w:val="24"/>
          <w:rtl/>
        </w:rPr>
        <w:t>38</w:t>
      </w:r>
      <w:r w:rsidR="000B49DB" w:rsidRPr="000F1A0F">
        <w:rPr>
          <w:rFonts w:cs="David" w:hint="cs"/>
          <w:b/>
          <w:bCs/>
          <w:color w:val="17365D"/>
          <w:sz w:val="24"/>
          <w:szCs w:val="24"/>
          <w:rtl/>
        </w:rPr>
        <w:t>0 מקרים לשנה)</w:t>
      </w:r>
      <w:r>
        <w:rPr>
          <w:rFonts w:cs="David" w:hint="cs"/>
          <w:color w:val="17365D"/>
          <w:sz w:val="24"/>
          <w:szCs w:val="24"/>
          <w:rtl/>
        </w:rPr>
        <w:t xml:space="preserve">, </w:t>
      </w:r>
      <w:r w:rsidR="000B49DB">
        <w:rPr>
          <w:rFonts w:cs="David" w:hint="cs"/>
          <w:color w:val="17365D"/>
          <w:sz w:val="24"/>
          <w:szCs w:val="24"/>
          <w:rtl/>
        </w:rPr>
        <w:t xml:space="preserve">קרוב למחציתם (41%) היו </w:t>
      </w:r>
      <w:proofErr w:type="spellStart"/>
      <w:r w:rsidR="000B49DB">
        <w:rPr>
          <w:rFonts w:cs="David" w:hint="cs"/>
          <w:color w:val="17365D"/>
          <w:sz w:val="24"/>
          <w:szCs w:val="24"/>
          <w:rtl/>
        </w:rPr>
        <w:t>גליובלסטומות</w:t>
      </w:r>
      <w:proofErr w:type="spellEnd"/>
      <w:r w:rsidR="00142E1E">
        <w:rPr>
          <w:rFonts w:cs="David" w:hint="cs"/>
          <w:color w:val="17365D"/>
          <w:sz w:val="24"/>
          <w:szCs w:val="24"/>
          <w:rtl/>
        </w:rPr>
        <w:t xml:space="preserve"> (טבלה 2). </w:t>
      </w:r>
    </w:p>
    <w:p w:rsidR="006E2770" w:rsidRDefault="006E2770" w:rsidP="006E2770">
      <w:pPr>
        <w:pStyle w:val="ad"/>
        <w:ind w:left="43"/>
        <w:jc w:val="both"/>
        <w:rPr>
          <w:rFonts w:cs="David"/>
          <w:color w:val="17365D"/>
          <w:sz w:val="24"/>
          <w:szCs w:val="24"/>
          <w:rtl/>
        </w:rPr>
      </w:pPr>
    </w:p>
    <w:p w:rsidR="00142E1E" w:rsidRDefault="00142E1E" w:rsidP="006E2770">
      <w:pPr>
        <w:pStyle w:val="ad"/>
        <w:ind w:left="43"/>
        <w:jc w:val="both"/>
        <w:rPr>
          <w:rFonts w:cs="David"/>
          <w:color w:val="17365D"/>
          <w:sz w:val="20"/>
          <w:szCs w:val="20"/>
          <w:rtl/>
        </w:rPr>
      </w:pPr>
      <w:r w:rsidRPr="00142E1E">
        <w:rPr>
          <w:rFonts w:cs="David" w:hint="cs"/>
          <w:color w:val="17365D"/>
          <w:sz w:val="20"/>
          <w:szCs w:val="20"/>
          <w:rtl/>
        </w:rPr>
        <w:t xml:space="preserve">טבלה 2: </w:t>
      </w:r>
      <w:r w:rsidRPr="00142E1E">
        <w:rPr>
          <w:rFonts w:cs="David" w:hint="cs"/>
          <w:b/>
          <w:bCs/>
          <w:color w:val="17365D"/>
          <w:sz w:val="20"/>
          <w:szCs w:val="20"/>
          <w:rtl/>
        </w:rPr>
        <w:t>התפלגות הגידולים הממאירים במח ובמערכת העצבים המרכזית בישראל,</w:t>
      </w:r>
      <w:r w:rsidRPr="00142E1E">
        <w:rPr>
          <w:rFonts w:cs="David" w:hint="cs"/>
          <w:color w:val="17365D"/>
          <w:sz w:val="20"/>
          <w:szCs w:val="20"/>
          <w:rtl/>
        </w:rPr>
        <w:t xml:space="preserve"> </w:t>
      </w:r>
      <w:r w:rsidRPr="00142E1E">
        <w:rPr>
          <w:rFonts w:cs="David" w:hint="cs"/>
          <w:b/>
          <w:bCs/>
          <w:color w:val="17365D"/>
          <w:sz w:val="20"/>
          <w:szCs w:val="20"/>
          <w:rtl/>
        </w:rPr>
        <w:t>1990-2014</w:t>
      </w:r>
    </w:p>
    <w:tbl>
      <w:tblPr>
        <w:tblStyle w:val="-1"/>
        <w:bidiVisual/>
        <w:tblW w:w="0" w:type="auto"/>
        <w:tblLook w:val="04A0" w:firstRow="1" w:lastRow="0" w:firstColumn="1" w:lastColumn="0" w:noHBand="0" w:noVBand="1"/>
      </w:tblPr>
      <w:tblGrid>
        <w:gridCol w:w="2840"/>
        <w:gridCol w:w="2841"/>
        <w:gridCol w:w="2841"/>
      </w:tblGrid>
      <w:tr w:rsidR="00142E1E" w:rsidTr="009D38C5">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840" w:type="dxa"/>
          </w:tcPr>
          <w:p w:rsidR="00142E1E" w:rsidRPr="00142E1E" w:rsidRDefault="00142E1E" w:rsidP="006E2770">
            <w:pPr>
              <w:pStyle w:val="ad"/>
              <w:ind w:left="43"/>
              <w:jc w:val="center"/>
              <w:rPr>
                <w:rFonts w:cs="David"/>
                <w:color w:val="FFFFFF" w:themeColor="background1"/>
                <w:sz w:val="24"/>
                <w:szCs w:val="24"/>
                <w:rtl/>
              </w:rPr>
            </w:pPr>
            <w:r w:rsidRPr="00142E1E">
              <w:rPr>
                <w:rFonts w:cs="David" w:hint="cs"/>
                <w:color w:val="FFFFFF" w:themeColor="background1"/>
                <w:sz w:val="24"/>
                <w:szCs w:val="24"/>
                <w:rtl/>
              </w:rPr>
              <w:t>קטגוריה</w:t>
            </w:r>
          </w:p>
        </w:tc>
        <w:tc>
          <w:tcPr>
            <w:tcW w:w="2841" w:type="dxa"/>
          </w:tcPr>
          <w:p w:rsidR="00142E1E" w:rsidRPr="00142E1E" w:rsidRDefault="00142E1E" w:rsidP="006E2770">
            <w:pPr>
              <w:pStyle w:val="ad"/>
              <w:ind w:left="43"/>
              <w:jc w:val="center"/>
              <w:cnfStyle w:val="100000000000" w:firstRow="1" w:lastRow="0" w:firstColumn="0" w:lastColumn="0" w:oddVBand="0" w:evenVBand="0" w:oddHBand="0" w:evenHBand="0" w:firstRowFirstColumn="0" w:firstRowLastColumn="0" w:lastRowFirstColumn="0" w:lastRowLastColumn="0"/>
              <w:rPr>
                <w:rFonts w:cs="David"/>
                <w:color w:val="FFFFFF" w:themeColor="background1"/>
                <w:sz w:val="24"/>
                <w:szCs w:val="24"/>
                <w:rtl/>
              </w:rPr>
            </w:pPr>
            <w:r w:rsidRPr="00142E1E">
              <w:rPr>
                <w:rFonts w:cs="David" w:hint="cs"/>
                <w:color w:val="FFFFFF" w:themeColor="background1"/>
                <w:sz w:val="24"/>
                <w:szCs w:val="24"/>
                <w:rtl/>
              </w:rPr>
              <w:t>סה"כ</w:t>
            </w:r>
            <w:r>
              <w:rPr>
                <w:rFonts w:cs="David" w:hint="cs"/>
                <w:color w:val="FFFFFF" w:themeColor="background1"/>
                <w:sz w:val="24"/>
                <w:szCs w:val="24"/>
                <w:rtl/>
              </w:rPr>
              <w:t xml:space="preserve"> (</w:t>
            </w:r>
            <w:r>
              <w:rPr>
                <w:rFonts w:cs="David"/>
                <w:color w:val="FFFFFF" w:themeColor="background1"/>
                <w:sz w:val="24"/>
                <w:szCs w:val="24"/>
              </w:rPr>
              <w:t>N</w:t>
            </w:r>
            <w:r>
              <w:rPr>
                <w:rFonts w:cs="David" w:hint="cs"/>
                <w:color w:val="FFFFFF" w:themeColor="background1"/>
                <w:sz w:val="24"/>
                <w:szCs w:val="24"/>
                <w:rtl/>
              </w:rPr>
              <w:t>)</w:t>
            </w:r>
          </w:p>
        </w:tc>
        <w:tc>
          <w:tcPr>
            <w:tcW w:w="2841" w:type="dxa"/>
          </w:tcPr>
          <w:p w:rsidR="00142E1E" w:rsidRPr="00142E1E" w:rsidRDefault="00142E1E" w:rsidP="006E2770">
            <w:pPr>
              <w:pStyle w:val="ad"/>
              <w:ind w:left="43"/>
              <w:jc w:val="center"/>
              <w:cnfStyle w:val="100000000000" w:firstRow="1" w:lastRow="0" w:firstColumn="0" w:lastColumn="0" w:oddVBand="0" w:evenVBand="0" w:oddHBand="0" w:evenHBand="0" w:firstRowFirstColumn="0" w:firstRowLastColumn="0" w:lastRowFirstColumn="0" w:lastRowLastColumn="0"/>
              <w:rPr>
                <w:rFonts w:cs="David"/>
                <w:color w:val="FFFFFF" w:themeColor="background1"/>
                <w:sz w:val="24"/>
                <w:szCs w:val="24"/>
                <w:rtl/>
              </w:rPr>
            </w:pPr>
            <w:r w:rsidRPr="00142E1E">
              <w:rPr>
                <w:rFonts w:cs="David" w:hint="cs"/>
                <w:color w:val="FFFFFF" w:themeColor="background1"/>
                <w:sz w:val="24"/>
                <w:szCs w:val="24"/>
                <w:rtl/>
              </w:rPr>
              <w:t>% מכלל הגידולים</w:t>
            </w:r>
          </w:p>
        </w:tc>
      </w:tr>
      <w:tr w:rsidR="00ED6FF4" w:rsidTr="009D38C5">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840" w:type="dxa"/>
          </w:tcPr>
          <w:p w:rsidR="00ED6FF4" w:rsidRPr="00142E1E" w:rsidRDefault="00ED6FF4" w:rsidP="009D38C5">
            <w:pPr>
              <w:pStyle w:val="ad"/>
              <w:ind w:left="43"/>
              <w:jc w:val="center"/>
              <w:rPr>
                <w:rFonts w:cs="David"/>
                <w:b w:val="0"/>
                <w:bCs w:val="0"/>
                <w:sz w:val="24"/>
                <w:szCs w:val="24"/>
              </w:rPr>
            </w:pPr>
            <w:r w:rsidRPr="00142E1E">
              <w:rPr>
                <w:rFonts w:cs="David" w:hint="cs"/>
                <w:b w:val="0"/>
                <w:bCs w:val="0"/>
                <w:sz w:val="24"/>
                <w:szCs w:val="24"/>
                <w:rtl/>
              </w:rPr>
              <w:t>גליובלסטומה</w:t>
            </w:r>
          </w:p>
        </w:tc>
        <w:tc>
          <w:tcPr>
            <w:tcW w:w="2841" w:type="dxa"/>
          </w:tcPr>
          <w:p w:rsidR="00ED6FF4" w:rsidRPr="00142E1E" w:rsidRDefault="009D38C5" w:rsidP="009D38C5">
            <w:pPr>
              <w:pStyle w:val="ad"/>
              <w:ind w:left="43"/>
              <w:jc w:val="center"/>
              <w:cnfStyle w:val="000000100000" w:firstRow="0" w:lastRow="0" w:firstColumn="0" w:lastColumn="0" w:oddVBand="0" w:evenVBand="0" w:oddHBand="1" w:evenHBand="0" w:firstRowFirstColumn="0" w:firstRowLastColumn="0" w:lastRowFirstColumn="0" w:lastRowLastColumn="0"/>
              <w:rPr>
                <w:rFonts w:cs="David"/>
                <w:sz w:val="24"/>
                <w:szCs w:val="24"/>
                <w:rtl/>
              </w:rPr>
            </w:pPr>
            <w:r>
              <w:rPr>
                <w:rFonts w:cs="David" w:hint="cs"/>
                <w:sz w:val="24"/>
                <w:szCs w:val="24"/>
                <w:rtl/>
              </w:rPr>
              <w:t>3,911</w:t>
            </w:r>
          </w:p>
        </w:tc>
        <w:tc>
          <w:tcPr>
            <w:tcW w:w="2841" w:type="dxa"/>
          </w:tcPr>
          <w:p w:rsidR="00ED6FF4" w:rsidRPr="009D38C5" w:rsidRDefault="009D38C5" w:rsidP="009D38C5">
            <w:pPr>
              <w:pStyle w:val="ad"/>
              <w:ind w:left="43"/>
              <w:jc w:val="center"/>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9D38C5">
              <w:rPr>
                <w:rFonts w:ascii="Arial" w:eastAsia="Times New Roman" w:hAnsi="Arial" w:cs="David" w:hint="cs"/>
                <w:color w:val="000000"/>
                <w:rtl/>
              </w:rPr>
              <w:t>40.7</w:t>
            </w:r>
          </w:p>
        </w:tc>
      </w:tr>
      <w:tr w:rsidR="00ED6FF4" w:rsidRPr="009D38C5" w:rsidTr="009D38C5">
        <w:trPr>
          <w:trHeight w:val="377"/>
        </w:trPr>
        <w:tc>
          <w:tcPr>
            <w:cnfStyle w:val="001000000000" w:firstRow="0" w:lastRow="0" w:firstColumn="1" w:lastColumn="0" w:oddVBand="0" w:evenVBand="0" w:oddHBand="0" w:evenHBand="0" w:firstRowFirstColumn="0" w:firstRowLastColumn="0" w:lastRowFirstColumn="0" w:lastRowLastColumn="0"/>
            <w:tcW w:w="2840" w:type="dxa"/>
          </w:tcPr>
          <w:p w:rsidR="00ED6FF4" w:rsidRPr="009D38C5" w:rsidRDefault="00ED6FF4" w:rsidP="009D38C5">
            <w:pPr>
              <w:pStyle w:val="ad"/>
              <w:ind w:left="43"/>
              <w:jc w:val="center"/>
              <w:rPr>
                <w:rFonts w:cs="David"/>
                <w:b w:val="0"/>
                <w:bCs w:val="0"/>
                <w:sz w:val="24"/>
                <w:szCs w:val="24"/>
                <w:rtl/>
              </w:rPr>
            </w:pPr>
            <w:r w:rsidRPr="009D38C5">
              <w:rPr>
                <w:rFonts w:cs="David" w:hint="cs"/>
                <w:b w:val="0"/>
                <w:bCs w:val="0"/>
                <w:sz w:val="24"/>
                <w:szCs w:val="24"/>
                <w:rtl/>
              </w:rPr>
              <w:t>גליומות אחרות</w:t>
            </w:r>
          </w:p>
        </w:tc>
        <w:tc>
          <w:tcPr>
            <w:tcW w:w="2841" w:type="dxa"/>
          </w:tcPr>
          <w:p w:rsidR="00ED6FF4" w:rsidRPr="009D38C5" w:rsidRDefault="009D38C5" w:rsidP="009D38C5">
            <w:pPr>
              <w:pStyle w:val="ad"/>
              <w:ind w:left="43"/>
              <w:jc w:val="center"/>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9D38C5">
              <w:rPr>
                <w:rFonts w:cs="David" w:hint="cs"/>
                <w:sz w:val="24"/>
                <w:szCs w:val="24"/>
                <w:rtl/>
              </w:rPr>
              <w:t>2,215</w:t>
            </w:r>
          </w:p>
        </w:tc>
        <w:tc>
          <w:tcPr>
            <w:tcW w:w="2841" w:type="dxa"/>
          </w:tcPr>
          <w:p w:rsidR="00ED6FF4" w:rsidRPr="009D38C5" w:rsidRDefault="009D38C5" w:rsidP="009D38C5">
            <w:pPr>
              <w:pStyle w:val="ad"/>
              <w:ind w:left="43"/>
              <w:jc w:val="center"/>
              <w:cnfStyle w:val="000000000000" w:firstRow="0" w:lastRow="0" w:firstColumn="0" w:lastColumn="0" w:oddVBand="0" w:evenVBand="0" w:oddHBand="0" w:evenHBand="0" w:firstRowFirstColumn="0" w:firstRowLastColumn="0" w:lastRowFirstColumn="0" w:lastRowLastColumn="0"/>
              <w:rPr>
                <w:rFonts w:cs="David"/>
                <w:sz w:val="24"/>
                <w:szCs w:val="24"/>
                <w:rtl/>
              </w:rPr>
            </w:pPr>
            <w:r>
              <w:rPr>
                <w:rFonts w:ascii="Arial" w:eastAsia="Times New Roman" w:hAnsi="Arial" w:cs="David" w:hint="cs"/>
                <w:color w:val="000000"/>
                <w:rtl/>
              </w:rPr>
              <w:t>23.1</w:t>
            </w:r>
          </w:p>
        </w:tc>
      </w:tr>
      <w:tr w:rsidR="00ED6FF4" w:rsidRPr="009D38C5" w:rsidTr="009D3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ED6FF4" w:rsidRPr="009D38C5" w:rsidRDefault="00ED6FF4" w:rsidP="009D38C5">
            <w:pPr>
              <w:pStyle w:val="ad"/>
              <w:ind w:left="43"/>
              <w:jc w:val="center"/>
              <w:rPr>
                <w:rFonts w:cs="David"/>
                <w:b w:val="0"/>
                <w:bCs w:val="0"/>
                <w:sz w:val="24"/>
                <w:szCs w:val="24"/>
                <w:rtl/>
              </w:rPr>
            </w:pPr>
            <w:r w:rsidRPr="009D38C5">
              <w:rPr>
                <w:rFonts w:cs="David" w:hint="cs"/>
                <w:b w:val="0"/>
                <w:bCs w:val="0"/>
                <w:sz w:val="24"/>
                <w:szCs w:val="24"/>
                <w:rtl/>
              </w:rPr>
              <w:t>אסטרוציטומה</w:t>
            </w:r>
          </w:p>
        </w:tc>
        <w:tc>
          <w:tcPr>
            <w:tcW w:w="2841" w:type="dxa"/>
          </w:tcPr>
          <w:p w:rsidR="00ED6FF4" w:rsidRPr="009D38C5" w:rsidRDefault="009D38C5" w:rsidP="009D38C5">
            <w:pPr>
              <w:pStyle w:val="ad"/>
              <w:ind w:left="43"/>
              <w:jc w:val="center"/>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9D38C5">
              <w:rPr>
                <w:rFonts w:cs="David" w:hint="cs"/>
                <w:sz w:val="24"/>
                <w:szCs w:val="24"/>
                <w:rtl/>
              </w:rPr>
              <w:t>2,126</w:t>
            </w:r>
          </w:p>
        </w:tc>
        <w:tc>
          <w:tcPr>
            <w:tcW w:w="2841" w:type="dxa"/>
          </w:tcPr>
          <w:p w:rsidR="00ED6FF4" w:rsidRPr="009D38C5" w:rsidRDefault="009D38C5" w:rsidP="009D38C5">
            <w:pPr>
              <w:pStyle w:val="ad"/>
              <w:ind w:left="43"/>
              <w:jc w:val="center"/>
              <w:cnfStyle w:val="000000100000" w:firstRow="0" w:lastRow="0" w:firstColumn="0" w:lastColumn="0" w:oddVBand="0" w:evenVBand="0" w:oddHBand="1" w:evenHBand="0" w:firstRowFirstColumn="0" w:firstRowLastColumn="0" w:lastRowFirstColumn="0" w:lastRowLastColumn="0"/>
              <w:rPr>
                <w:rFonts w:cs="David"/>
                <w:sz w:val="24"/>
                <w:szCs w:val="24"/>
                <w:rtl/>
              </w:rPr>
            </w:pPr>
            <w:r>
              <w:rPr>
                <w:rFonts w:cs="David" w:hint="cs"/>
                <w:sz w:val="24"/>
                <w:szCs w:val="24"/>
                <w:rtl/>
              </w:rPr>
              <w:t>22.1</w:t>
            </w:r>
          </w:p>
        </w:tc>
      </w:tr>
      <w:tr w:rsidR="00ED6FF4" w:rsidRPr="009D38C5" w:rsidTr="009D38C5">
        <w:tc>
          <w:tcPr>
            <w:cnfStyle w:val="001000000000" w:firstRow="0" w:lastRow="0" w:firstColumn="1" w:lastColumn="0" w:oddVBand="0" w:evenVBand="0" w:oddHBand="0" w:evenHBand="0" w:firstRowFirstColumn="0" w:firstRowLastColumn="0" w:lastRowFirstColumn="0" w:lastRowLastColumn="0"/>
            <w:tcW w:w="2840" w:type="dxa"/>
          </w:tcPr>
          <w:p w:rsidR="00ED6FF4" w:rsidRPr="009D38C5" w:rsidRDefault="00ED6FF4" w:rsidP="009D38C5">
            <w:pPr>
              <w:pStyle w:val="ad"/>
              <w:ind w:left="43"/>
              <w:jc w:val="center"/>
              <w:rPr>
                <w:rFonts w:cs="David"/>
                <w:b w:val="0"/>
                <w:bCs w:val="0"/>
                <w:sz w:val="24"/>
                <w:szCs w:val="24"/>
                <w:rtl/>
              </w:rPr>
            </w:pPr>
            <w:r w:rsidRPr="009D38C5">
              <w:rPr>
                <w:rFonts w:cs="David" w:hint="cs"/>
                <w:b w:val="0"/>
                <w:bCs w:val="0"/>
                <w:sz w:val="24"/>
                <w:szCs w:val="24"/>
                <w:rtl/>
              </w:rPr>
              <w:t>מנינגיומה</w:t>
            </w:r>
          </w:p>
        </w:tc>
        <w:tc>
          <w:tcPr>
            <w:tcW w:w="2841" w:type="dxa"/>
          </w:tcPr>
          <w:p w:rsidR="00ED6FF4" w:rsidRPr="009D38C5" w:rsidRDefault="009D38C5" w:rsidP="009D38C5">
            <w:pPr>
              <w:pStyle w:val="ad"/>
              <w:ind w:left="43"/>
              <w:jc w:val="center"/>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9D38C5">
              <w:rPr>
                <w:rFonts w:ascii="Arial" w:eastAsia="Times New Roman" w:hAnsi="Arial" w:cs="David" w:hint="cs"/>
                <w:color w:val="000000"/>
                <w:rtl/>
              </w:rPr>
              <w:t>187</w:t>
            </w:r>
          </w:p>
        </w:tc>
        <w:tc>
          <w:tcPr>
            <w:tcW w:w="2841" w:type="dxa"/>
          </w:tcPr>
          <w:p w:rsidR="00ED6FF4" w:rsidRPr="009D38C5" w:rsidRDefault="009D38C5" w:rsidP="009D38C5">
            <w:pPr>
              <w:pStyle w:val="ad"/>
              <w:ind w:left="43"/>
              <w:jc w:val="center"/>
              <w:cnfStyle w:val="000000000000" w:firstRow="0" w:lastRow="0" w:firstColumn="0" w:lastColumn="0" w:oddVBand="0" w:evenVBand="0" w:oddHBand="0" w:evenHBand="0" w:firstRowFirstColumn="0" w:firstRowLastColumn="0" w:lastRowFirstColumn="0" w:lastRowLastColumn="0"/>
              <w:rPr>
                <w:rFonts w:cs="David"/>
                <w:sz w:val="24"/>
                <w:szCs w:val="24"/>
                <w:rtl/>
              </w:rPr>
            </w:pPr>
            <w:r>
              <w:rPr>
                <w:rFonts w:cs="David" w:hint="cs"/>
                <w:sz w:val="24"/>
                <w:szCs w:val="24"/>
                <w:rtl/>
              </w:rPr>
              <w:t>2.0</w:t>
            </w:r>
          </w:p>
        </w:tc>
      </w:tr>
      <w:tr w:rsidR="00ED6FF4" w:rsidRPr="009D38C5" w:rsidTr="009D3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ED6FF4" w:rsidRPr="009D38C5" w:rsidRDefault="00ED6FF4" w:rsidP="009D38C5">
            <w:pPr>
              <w:pStyle w:val="ad"/>
              <w:ind w:left="43"/>
              <w:jc w:val="center"/>
              <w:rPr>
                <w:rFonts w:cs="David"/>
                <w:b w:val="0"/>
                <w:bCs w:val="0"/>
                <w:sz w:val="24"/>
                <w:szCs w:val="24"/>
                <w:rtl/>
              </w:rPr>
            </w:pPr>
            <w:r w:rsidRPr="009D38C5">
              <w:rPr>
                <w:rFonts w:cs="David" w:hint="cs"/>
                <w:b w:val="0"/>
                <w:bCs w:val="0"/>
                <w:sz w:val="24"/>
                <w:szCs w:val="24"/>
                <w:rtl/>
              </w:rPr>
              <w:t>גידול כלי דם</w:t>
            </w:r>
          </w:p>
        </w:tc>
        <w:tc>
          <w:tcPr>
            <w:tcW w:w="2841" w:type="dxa"/>
          </w:tcPr>
          <w:p w:rsidR="00ED6FF4" w:rsidRPr="009D38C5" w:rsidRDefault="009D38C5" w:rsidP="009D38C5">
            <w:pPr>
              <w:pStyle w:val="ad"/>
              <w:ind w:left="43"/>
              <w:jc w:val="center"/>
              <w:cnfStyle w:val="000000100000" w:firstRow="0" w:lastRow="0" w:firstColumn="0" w:lastColumn="0" w:oddVBand="0" w:evenVBand="0" w:oddHBand="1" w:evenHBand="0" w:firstRowFirstColumn="0" w:firstRowLastColumn="0" w:lastRowFirstColumn="0" w:lastRowLastColumn="0"/>
              <w:rPr>
                <w:rFonts w:cs="David"/>
                <w:sz w:val="24"/>
                <w:szCs w:val="24"/>
                <w:rtl/>
              </w:rPr>
            </w:pPr>
            <w:r w:rsidRPr="009D38C5">
              <w:rPr>
                <w:rFonts w:ascii="Arial" w:eastAsia="Times New Roman" w:hAnsi="Arial" w:cs="David" w:hint="cs"/>
                <w:color w:val="000000"/>
                <w:rtl/>
              </w:rPr>
              <w:t>26</w:t>
            </w:r>
          </w:p>
        </w:tc>
        <w:tc>
          <w:tcPr>
            <w:tcW w:w="2841" w:type="dxa"/>
          </w:tcPr>
          <w:p w:rsidR="00ED6FF4" w:rsidRPr="009D38C5" w:rsidRDefault="009D38C5" w:rsidP="009D38C5">
            <w:pPr>
              <w:pStyle w:val="ad"/>
              <w:ind w:left="43"/>
              <w:jc w:val="center"/>
              <w:cnfStyle w:val="000000100000" w:firstRow="0" w:lastRow="0" w:firstColumn="0" w:lastColumn="0" w:oddVBand="0" w:evenVBand="0" w:oddHBand="1" w:evenHBand="0" w:firstRowFirstColumn="0" w:firstRowLastColumn="0" w:lastRowFirstColumn="0" w:lastRowLastColumn="0"/>
              <w:rPr>
                <w:rFonts w:cs="David"/>
                <w:sz w:val="24"/>
                <w:szCs w:val="24"/>
                <w:rtl/>
              </w:rPr>
            </w:pPr>
            <w:r>
              <w:rPr>
                <w:rFonts w:cs="David" w:hint="cs"/>
                <w:sz w:val="24"/>
                <w:szCs w:val="24"/>
                <w:rtl/>
              </w:rPr>
              <w:t>0.3</w:t>
            </w:r>
          </w:p>
        </w:tc>
      </w:tr>
      <w:tr w:rsidR="00ED6FF4" w:rsidRPr="009D38C5" w:rsidTr="009D38C5">
        <w:tc>
          <w:tcPr>
            <w:cnfStyle w:val="001000000000" w:firstRow="0" w:lastRow="0" w:firstColumn="1" w:lastColumn="0" w:oddVBand="0" w:evenVBand="0" w:oddHBand="0" w:evenHBand="0" w:firstRowFirstColumn="0" w:firstRowLastColumn="0" w:lastRowFirstColumn="0" w:lastRowLastColumn="0"/>
            <w:tcW w:w="2840" w:type="dxa"/>
          </w:tcPr>
          <w:p w:rsidR="00ED6FF4" w:rsidRPr="009D38C5" w:rsidRDefault="00ED6FF4" w:rsidP="009D38C5">
            <w:pPr>
              <w:pStyle w:val="ad"/>
              <w:ind w:left="43"/>
              <w:jc w:val="center"/>
              <w:rPr>
                <w:rFonts w:cs="David"/>
                <w:b w:val="0"/>
                <w:bCs w:val="0"/>
                <w:sz w:val="24"/>
                <w:szCs w:val="24"/>
                <w:rtl/>
              </w:rPr>
            </w:pPr>
            <w:r w:rsidRPr="009D38C5">
              <w:rPr>
                <w:rFonts w:cs="David" w:hint="cs"/>
                <w:b w:val="0"/>
                <w:bCs w:val="0"/>
                <w:sz w:val="24"/>
                <w:szCs w:val="24"/>
                <w:rtl/>
              </w:rPr>
              <w:t>אחר</w:t>
            </w:r>
          </w:p>
        </w:tc>
        <w:tc>
          <w:tcPr>
            <w:tcW w:w="2841" w:type="dxa"/>
          </w:tcPr>
          <w:p w:rsidR="00ED6FF4" w:rsidRPr="009D38C5" w:rsidRDefault="009D38C5" w:rsidP="009D38C5">
            <w:pPr>
              <w:pStyle w:val="ad"/>
              <w:ind w:left="43"/>
              <w:jc w:val="center"/>
              <w:cnfStyle w:val="000000000000" w:firstRow="0" w:lastRow="0" w:firstColumn="0" w:lastColumn="0" w:oddVBand="0" w:evenVBand="0" w:oddHBand="0" w:evenHBand="0" w:firstRowFirstColumn="0" w:firstRowLastColumn="0" w:lastRowFirstColumn="0" w:lastRowLastColumn="0"/>
              <w:rPr>
                <w:rFonts w:cs="David"/>
                <w:sz w:val="24"/>
                <w:szCs w:val="24"/>
                <w:rtl/>
              </w:rPr>
            </w:pPr>
            <w:r w:rsidRPr="009D38C5">
              <w:rPr>
                <w:rFonts w:cs="David" w:hint="cs"/>
                <w:sz w:val="24"/>
                <w:szCs w:val="24"/>
                <w:rtl/>
              </w:rPr>
              <w:t>1,143</w:t>
            </w:r>
          </w:p>
        </w:tc>
        <w:tc>
          <w:tcPr>
            <w:tcW w:w="2841" w:type="dxa"/>
          </w:tcPr>
          <w:p w:rsidR="00ED6FF4" w:rsidRPr="009D38C5" w:rsidRDefault="009D38C5" w:rsidP="00E41381">
            <w:pPr>
              <w:pStyle w:val="ad"/>
              <w:ind w:left="43"/>
              <w:jc w:val="center"/>
              <w:cnfStyle w:val="000000000000" w:firstRow="0" w:lastRow="0" w:firstColumn="0" w:lastColumn="0" w:oddVBand="0" w:evenVBand="0" w:oddHBand="0" w:evenHBand="0" w:firstRowFirstColumn="0" w:firstRowLastColumn="0" w:lastRowFirstColumn="0" w:lastRowLastColumn="0"/>
              <w:rPr>
                <w:rFonts w:cs="David"/>
                <w:sz w:val="24"/>
                <w:szCs w:val="24"/>
                <w:rtl/>
              </w:rPr>
            </w:pPr>
            <w:r>
              <w:rPr>
                <w:rFonts w:cs="David" w:hint="cs"/>
                <w:sz w:val="24"/>
                <w:szCs w:val="24"/>
                <w:rtl/>
              </w:rPr>
              <w:t>11.</w:t>
            </w:r>
            <w:r w:rsidR="00E41381">
              <w:rPr>
                <w:rFonts w:cs="David" w:hint="cs"/>
                <w:sz w:val="24"/>
                <w:szCs w:val="24"/>
                <w:rtl/>
              </w:rPr>
              <w:t>8</w:t>
            </w:r>
          </w:p>
        </w:tc>
      </w:tr>
      <w:tr w:rsidR="00142E1E" w:rsidRPr="009D38C5" w:rsidTr="009D38C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840" w:type="dxa"/>
          </w:tcPr>
          <w:p w:rsidR="00142E1E" w:rsidRPr="009D38C5" w:rsidRDefault="00142E1E" w:rsidP="009D38C5">
            <w:pPr>
              <w:pStyle w:val="ad"/>
              <w:ind w:left="43"/>
              <w:jc w:val="center"/>
              <w:rPr>
                <w:rFonts w:cs="David"/>
                <w:sz w:val="24"/>
                <w:szCs w:val="24"/>
                <w:rtl/>
              </w:rPr>
            </w:pPr>
            <w:r w:rsidRPr="009D38C5">
              <w:rPr>
                <w:rFonts w:cs="David" w:hint="cs"/>
                <w:sz w:val="24"/>
                <w:szCs w:val="24"/>
                <w:rtl/>
              </w:rPr>
              <w:t>סה"כ</w:t>
            </w:r>
          </w:p>
        </w:tc>
        <w:tc>
          <w:tcPr>
            <w:tcW w:w="2841" w:type="dxa"/>
          </w:tcPr>
          <w:p w:rsidR="00142E1E" w:rsidRPr="009D38C5" w:rsidRDefault="009D38C5" w:rsidP="009D38C5">
            <w:pPr>
              <w:pStyle w:val="ad"/>
              <w:ind w:left="43"/>
              <w:jc w:val="center"/>
              <w:cnfStyle w:val="000000100000" w:firstRow="0" w:lastRow="0" w:firstColumn="0" w:lastColumn="0" w:oddVBand="0" w:evenVBand="0" w:oddHBand="1" w:evenHBand="0" w:firstRowFirstColumn="0" w:firstRowLastColumn="0" w:lastRowFirstColumn="0" w:lastRowLastColumn="0"/>
              <w:rPr>
                <w:rFonts w:cs="David"/>
                <w:b/>
                <w:bCs/>
                <w:sz w:val="24"/>
                <w:szCs w:val="24"/>
                <w:rtl/>
              </w:rPr>
            </w:pPr>
            <w:r w:rsidRPr="009D38C5">
              <w:rPr>
                <w:rFonts w:cs="David" w:hint="cs"/>
                <w:b/>
                <w:bCs/>
                <w:sz w:val="24"/>
                <w:szCs w:val="24"/>
                <w:rtl/>
              </w:rPr>
              <w:t>9,608</w:t>
            </w:r>
          </w:p>
        </w:tc>
        <w:tc>
          <w:tcPr>
            <w:tcW w:w="2841" w:type="dxa"/>
          </w:tcPr>
          <w:p w:rsidR="00142E1E" w:rsidRPr="009D38C5" w:rsidRDefault="00142E1E" w:rsidP="009D38C5">
            <w:pPr>
              <w:pStyle w:val="ad"/>
              <w:ind w:left="43"/>
              <w:jc w:val="center"/>
              <w:cnfStyle w:val="000000100000" w:firstRow="0" w:lastRow="0" w:firstColumn="0" w:lastColumn="0" w:oddVBand="0" w:evenVBand="0" w:oddHBand="1" w:evenHBand="0" w:firstRowFirstColumn="0" w:firstRowLastColumn="0" w:lastRowFirstColumn="0" w:lastRowLastColumn="0"/>
              <w:rPr>
                <w:rFonts w:cs="David"/>
                <w:b/>
                <w:bCs/>
                <w:sz w:val="24"/>
                <w:szCs w:val="24"/>
                <w:rtl/>
              </w:rPr>
            </w:pPr>
            <w:r w:rsidRPr="009D38C5">
              <w:rPr>
                <w:rFonts w:cs="David" w:hint="cs"/>
                <w:b/>
                <w:bCs/>
                <w:sz w:val="24"/>
                <w:szCs w:val="24"/>
                <w:rtl/>
              </w:rPr>
              <w:t>100.0</w:t>
            </w:r>
          </w:p>
        </w:tc>
      </w:tr>
    </w:tbl>
    <w:p w:rsidR="00142E1E" w:rsidRPr="00142E1E" w:rsidRDefault="00142E1E" w:rsidP="006E2770">
      <w:pPr>
        <w:pStyle w:val="ad"/>
        <w:ind w:left="43"/>
        <w:jc w:val="both"/>
        <w:rPr>
          <w:rFonts w:cs="David"/>
          <w:color w:val="17365D"/>
          <w:sz w:val="20"/>
          <w:szCs w:val="20"/>
          <w:rtl/>
        </w:rPr>
      </w:pPr>
    </w:p>
    <w:p w:rsidR="009C2F2C" w:rsidRDefault="00142E1E" w:rsidP="00F212FE">
      <w:pPr>
        <w:pStyle w:val="ad"/>
        <w:ind w:left="43"/>
        <w:jc w:val="both"/>
        <w:rPr>
          <w:rFonts w:cs="David"/>
          <w:color w:val="17365D"/>
          <w:sz w:val="24"/>
          <w:szCs w:val="24"/>
          <w:rtl/>
        </w:rPr>
      </w:pPr>
      <w:r>
        <w:rPr>
          <w:rFonts w:cs="David" w:hint="cs"/>
          <w:color w:val="17365D"/>
          <w:sz w:val="24"/>
          <w:szCs w:val="24"/>
          <w:rtl/>
        </w:rPr>
        <w:t xml:space="preserve">תרשים 1 </w:t>
      </w:r>
      <w:r w:rsidR="00F53462">
        <w:rPr>
          <w:rFonts w:cs="David" w:hint="cs"/>
          <w:color w:val="17365D"/>
          <w:sz w:val="24"/>
          <w:szCs w:val="24"/>
          <w:rtl/>
        </w:rPr>
        <w:t xml:space="preserve">מתאר את התפלגותם של גידולים אלה לפי גיל; בעוד </w:t>
      </w:r>
      <w:proofErr w:type="spellStart"/>
      <w:r w:rsidR="00F53462">
        <w:rPr>
          <w:rFonts w:cs="David" w:hint="cs"/>
          <w:color w:val="17365D"/>
          <w:sz w:val="24"/>
          <w:szCs w:val="24"/>
          <w:rtl/>
        </w:rPr>
        <w:t>שאסטרוציטומות</w:t>
      </w:r>
      <w:proofErr w:type="spellEnd"/>
      <w:r w:rsidR="00F53462">
        <w:rPr>
          <w:rFonts w:cs="David" w:hint="cs"/>
          <w:color w:val="17365D"/>
          <w:sz w:val="24"/>
          <w:szCs w:val="24"/>
          <w:rtl/>
        </w:rPr>
        <w:t xml:space="preserve"> </w:t>
      </w:r>
      <w:proofErr w:type="spellStart"/>
      <w:r w:rsidR="00F53462">
        <w:rPr>
          <w:rFonts w:cs="David" w:hint="cs"/>
          <w:color w:val="17365D"/>
          <w:sz w:val="24"/>
          <w:szCs w:val="24"/>
          <w:rtl/>
        </w:rPr>
        <w:t>וגליומות</w:t>
      </w:r>
      <w:proofErr w:type="spellEnd"/>
      <w:r w:rsidR="00F53462">
        <w:rPr>
          <w:rFonts w:cs="David" w:hint="cs"/>
          <w:color w:val="17365D"/>
          <w:sz w:val="24"/>
          <w:szCs w:val="24"/>
          <w:rtl/>
        </w:rPr>
        <w:t xml:space="preserve"> שכיחות יותר בגיל הצעיר (0-19), </w:t>
      </w:r>
      <w:proofErr w:type="spellStart"/>
      <w:r w:rsidR="00F53462">
        <w:rPr>
          <w:rFonts w:cs="David" w:hint="cs"/>
          <w:color w:val="17365D"/>
          <w:sz w:val="24"/>
          <w:szCs w:val="24"/>
          <w:rtl/>
        </w:rPr>
        <w:t>גליובלסטומות</w:t>
      </w:r>
      <w:proofErr w:type="spellEnd"/>
      <w:r w:rsidR="00F53462">
        <w:rPr>
          <w:rFonts w:cs="David" w:hint="cs"/>
          <w:color w:val="17365D"/>
          <w:sz w:val="24"/>
          <w:szCs w:val="24"/>
          <w:rtl/>
        </w:rPr>
        <w:t xml:space="preserve"> </w:t>
      </w:r>
      <w:r w:rsidR="009C2F2C">
        <w:rPr>
          <w:rFonts w:cs="David" w:hint="cs"/>
          <w:color w:val="17365D"/>
          <w:sz w:val="24"/>
          <w:szCs w:val="24"/>
          <w:rtl/>
        </w:rPr>
        <w:t>שכיחות יותר ב</w:t>
      </w:r>
      <w:r w:rsidR="00F53462">
        <w:rPr>
          <w:rFonts w:cs="David" w:hint="cs"/>
          <w:color w:val="17365D"/>
          <w:sz w:val="24"/>
          <w:szCs w:val="24"/>
          <w:rtl/>
        </w:rPr>
        <w:t xml:space="preserve">מבוגרים </w:t>
      </w:r>
      <w:r w:rsidR="00F212FE">
        <w:rPr>
          <w:rFonts w:cs="David" w:hint="cs"/>
          <w:color w:val="17365D"/>
          <w:sz w:val="24"/>
          <w:szCs w:val="24"/>
          <w:rtl/>
        </w:rPr>
        <w:t>(</w:t>
      </w:r>
      <w:r w:rsidR="009C2F2C">
        <w:rPr>
          <w:rFonts w:cs="David" w:hint="cs"/>
          <w:color w:val="17365D"/>
          <w:sz w:val="24"/>
          <w:szCs w:val="24"/>
          <w:rtl/>
        </w:rPr>
        <w:t>20-64</w:t>
      </w:r>
      <w:r w:rsidR="00F212FE">
        <w:rPr>
          <w:rFonts w:cs="David" w:hint="cs"/>
          <w:color w:val="17365D"/>
          <w:sz w:val="24"/>
          <w:szCs w:val="24"/>
          <w:rtl/>
        </w:rPr>
        <w:t>)</w:t>
      </w:r>
      <w:r w:rsidR="009C2F2C">
        <w:rPr>
          <w:rFonts w:cs="David" w:hint="cs"/>
          <w:color w:val="17365D"/>
          <w:sz w:val="24"/>
          <w:szCs w:val="24"/>
          <w:rtl/>
        </w:rPr>
        <w:t xml:space="preserve"> ו</w:t>
      </w:r>
      <w:r w:rsidR="00F53462">
        <w:rPr>
          <w:rFonts w:cs="David" w:hint="cs"/>
          <w:color w:val="17365D"/>
          <w:sz w:val="24"/>
          <w:szCs w:val="24"/>
          <w:rtl/>
        </w:rPr>
        <w:t>ב</w:t>
      </w:r>
      <w:r w:rsidR="009C2F2C">
        <w:rPr>
          <w:rFonts w:cs="David" w:hint="cs"/>
          <w:color w:val="17365D"/>
          <w:sz w:val="24"/>
          <w:szCs w:val="24"/>
          <w:rtl/>
        </w:rPr>
        <w:t xml:space="preserve">קשישים (65+). </w:t>
      </w:r>
    </w:p>
    <w:p w:rsidR="00142E1E" w:rsidRDefault="009C2F2C" w:rsidP="009C2F2C">
      <w:pPr>
        <w:spacing w:after="0" w:line="240" w:lineRule="auto"/>
        <w:rPr>
          <w:rFonts w:cs="David"/>
          <w:color w:val="17365D"/>
          <w:sz w:val="24"/>
          <w:szCs w:val="24"/>
          <w:rtl/>
        </w:rPr>
      </w:pPr>
      <w:r>
        <w:rPr>
          <w:rFonts w:cs="David"/>
          <w:color w:val="17365D"/>
          <w:sz w:val="24"/>
          <w:szCs w:val="24"/>
          <w:rtl/>
        </w:rPr>
        <w:br w:type="page"/>
      </w:r>
      <w:r>
        <w:rPr>
          <w:rFonts w:cs="David" w:hint="cs"/>
          <w:color w:val="17365D"/>
          <w:sz w:val="24"/>
          <w:szCs w:val="24"/>
          <w:rtl/>
        </w:rPr>
        <w:t>תר</w:t>
      </w:r>
      <w:r w:rsidR="00F53462">
        <w:rPr>
          <w:rFonts w:cs="David" w:hint="cs"/>
          <w:color w:val="17365D"/>
          <w:sz w:val="24"/>
          <w:szCs w:val="24"/>
          <w:rtl/>
        </w:rPr>
        <w:t>שים 2 מתאר את התפלגות הסוגים השונים של גידולי מח ממאירים במהלך התקופה 1990-2014. לא</w:t>
      </w:r>
      <w:r w:rsidR="006E2770">
        <w:rPr>
          <w:rFonts w:cs="David" w:hint="cs"/>
          <w:color w:val="17365D"/>
          <w:sz w:val="24"/>
          <w:szCs w:val="24"/>
          <w:rtl/>
        </w:rPr>
        <w:t xml:space="preserve"> נראה כי חל שינוי מהותי בהתפלגות, למעט ירידה קלה בהיארעות האסטרוציטומות בין תחילת שנות ה-90' ל</w:t>
      </w:r>
      <w:r w:rsidR="00E41381">
        <w:rPr>
          <w:rFonts w:cs="David" w:hint="cs"/>
          <w:color w:val="17365D"/>
          <w:sz w:val="24"/>
          <w:szCs w:val="24"/>
          <w:rtl/>
        </w:rPr>
        <w:t>שנת 2014</w:t>
      </w:r>
      <w:r w:rsidR="006E2770">
        <w:rPr>
          <w:rFonts w:cs="David" w:hint="cs"/>
          <w:color w:val="17365D"/>
          <w:sz w:val="24"/>
          <w:szCs w:val="24"/>
          <w:rtl/>
        </w:rPr>
        <w:t>.</w:t>
      </w:r>
    </w:p>
    <w:p w:rsidR="009C2F2C" w:rsidRDefault="009C2F2C" w:rsidP="009C2F2C">
      <w:pPr>
        <w:spacing w:after="0" w:line="240" w:lineRule="auto"/>
        <w:rPr>
          <w:rFonts w:cs="David"/>
          <w:color w:val="17365D"/>
          <w:sz w:val="24"/>
          <w:szCs w:val="24"/>
          <w:rtl/>
        </w:rPr>
      </w:pPr>
    </w:p>
    <w:p w:rsidR="00142E1E" w:rsidRPr="00142E1E" w:rsidRDefault="00142E1E" w:rsidP="006E2770">
      <w:pPr>
        <w:ind w:left="43"/>
        <w:jc w:val="both"/>
        <w:rPr>
          <w:rFonts w:cs="David"/>
          <w:color w:val="17365D"/>
          <w:sz w:val="20"/>
          <w:szCs w:val="20"/>
          <w:rtl/>
        </w:rPr>
      </w:pPr>
      <w:r w:rsidRPr="00142E1E">
        <w:rPr>
          <w:rFonts w:cs="David" w:hint="cs"/>
          <w:color w:val="17365D"/>
          <w:sz w:val="20"/>
          <w:szCs w:val="20"/>
          <w:rtl/>
        </w:rPr>
        <w:t xml:space="preserve">תרשים 1: </w:t>
      </w:r>
      <w:r w:rsidRPr="00142E1E">
        <w:rPr>
          <w:rFonts w:cs="David" w:hint="cs"/>
          <w:b/>
          <w:bCs/>
          <w:color w:val="17365D"/>
          <w:sz w:val="20"/>
          <w:szCs w:val="20"/>
          <w:rtl/>
        </w:rPr>
        <w:t>התפלגות גידולים ממאירים של המח ומערכת העצבים המרכזית בישראל, 1990-2014, לפי קבוצות גיל</w:t>
      </w:r>
      <w:r>
        <w:rPr>
          <w:noProof/>
        </w:rPr>
        <w:drawing>
          <wp:inline distT="0" distB="0" distL="0" distR="0" wp14:anchorId="12FD138A" wp14:editId="11E33DAC">
            <wp:extent cx="5425440" cy="3017520"/>
            <wp:effectExtent l="0" t="0" r="2286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E2770" w:rsidRDefault="006E2770" w:rsidP="006E2770">
      <w:pPr>
        <w:pStyle w:val="ad"/>
        <w:spacing w:after="0"/>
        <w:ind w:left="43"/>
        <w:jc w:val="both"/>
        <w:rPr>
          <w:rFonts w:cs="David"/>
          <w:b/>
          <w:bCs/>
          <w:color w:val="17365D"/>
          <w:sz w:val="20"/>
          <w:szCs w:val="20"/>
          <w:rtl/>
        </w:rPr>
      </w:pPr>
      <w:r w:rsidRPr="00142E1E">
        <w:rPr>
          <w:rFonts w:cs="David" w:hint="cs"/>
          <w:color w:val="17365D"/>
          <w:sz w:val="20"/>
          <w:szCs w:val="20"/>
          <w:rtl/>
        </w:rPr>
        <w:t xml:space="preserve">תרשים </w:t>
      </w:r>
      <w:r>
        <w:rPr>
          <w:rFonts w:cs="David" w:hint="cs"/>
          <w:color w:val="17365D"/>
          <w:sz w:val="20"/>
          <w:szCs w:val="20"/>
          <w:rtl/>
        </w:rPr>
        <w:t>2</w:t>
      </w:r>
      <w:r w:rsidRPr="00142E1E">
        <w:rPr>
          <w:rFonts w:cs="David" w:hint="cs"/>
          <w:color w:val="17365D"/>
          <w:sz w:val="20"/>
          <w:szCs w:val="20"/>
          <w:rtl/>
        </w:rPr>
        <w:t xml:space="preserve">: </w:t>
      </w:r>
      <w:r w:rsidRPr="00142E1E">
        <w:rPr>
          <w:rFonts w:cs="David" w:hint="cs"/>
          <w:b/>
          <w:bCs/>
          <w:color w:val="17365D"/>
          <w:sz w:val="20"/>
          <w:szCs w:val="20"/>
          <w:rtl/>
        </w:rPr>
        <w:t xml:space="preserve">התפלגות </w:t>
      </w:r>
      <w:r>
        <w:rPr>
          <w:rFonts w:cs="David" w:hint="cs"/>
          <w:b/>
          <w:bCs/>
          <w:color w:val="17365D"/>
          <w:sz w:val="20"/>
          <w:szCs w:val="20"/>
          <w:rtl/>
        </w:rPr>
        <w:t>סוגי ה</w:t>
      </w:r>
      <w:r w:rsidRPr="00142E1E">
        <w:rPr>
          <w:rFonts w:cs="David" w:hint="cs"/>
          <w:b/>
          <w:bCs/>
          <w:color w:val="17365D"/>
          <w:sz w:val="20"/>
          <w:szCs w:val="20"/>
          <w:rtl/>
        </w:rPr>
        <w:t xml:space="preserve">גידולים </w:t>
      </w:r>
      <w:r>
        <w:rPr>
          <w:rFonts w:cs="David" w:hint="cs"/>
          <w:b/>
          <w:bCs/>
          <w:color w:val="17365D"/>
          <w:sz w:val="20"/>
          <w:szCs w:val="20"/>
          <w:rtl/>
        </w:rPr>
        <w:t>ה</w:t>
      </w:r>
      <w:r w:rsidRPr="00142E1E">
        <w:rPr>
          <w:rFonts w:cs="David" w:hint="cs"/>
          <w:b/>
          <w:bCs/>
          <w:color w:val="17365D"/>
          <w:sz w:val="20"/>
          <w:szCs w:val="20"/>
          <w:rtl/>
        </w:rPr>
        <w:t xml:space="preserve">ממאירים </w:t>
      </w:r>
      <w:r>
        <w:rPr>
          <w:rFonts w:cs="David" w:hint="cs"/>
          <w:b/>
          <w:bCs/>
          <w:color w:val="17365D"/>
          <w:sz w:val="20"/>
          <w:szCs w:val="20"/>
          <w:rtl/>
        </w:rPr>
        <w:t>ב</w:t>
      </w:r>
      <w:r w:rsidRPr="00142E1E">
        <w:rPr>
          <w:rFonts w:cs="David" w:hint="cs"/>
          <w:b/>
          <w:bCs/>
          <w:color w:val="17365D"/>
          <w:sz w:val="20"/>
          <w:szCs w:val="20"/>
          <w:rtl/>
        </w:rPr>
        <w:t>מח ו</w:t>
      </w:r>
      <w:r>
        <w:rPr>
          <w:rFonts w:cs="David" w:hint="cs"/>
          <w:b/>
          <w:bCs/>
          <w:color w:val="17365D"/>
          <w:sz w:val="20"/>
          <w:szCs w:val="20"/>
          <w:rtl/>
        </w:rPr>
        <w:t>ב</w:t>
      </w:r>
      <w:r w:rsidRPr="00142E1E">
        <w:rPr>
          <w:rFonts w:cs="David" w:hint="cs"/>
          <w:b/>
          <w:bCs/>
          <w:color w:val="17365D"/>
          <w:sz w:val="20"/>
          <w:szCs w:val="20"/>
          <w:rtl/>
        </w:rPr>
        <w:t xml:space="preserve">מערכת העצבים המרכזית בישראל, 1990-2014, לפי </w:t>
      </w:r>
      <w:r>
        <w:rPr>
          <w:rFonts w:cs="David" w:hint="cs"/>
          <w:b/>
          <w:bCs/>
          <w:color w:val="17365D"/>
          <w:sz w:val="20"/>
          <w:szCs w:val="20"/>
          <w:rtl/>
        </w:rPr>
        <w:t>שנה</w:t>
      </w:r>
    </w:p>
    <w:p w:rsidR="006E2770" w:rsidRDefault="006E2770" w:rsidP="006E2770">
      <w:pPr>
        <w:pStyle w:val="ad"/>
        <w:spacing w:after="0"/>
        <w:ind w:left="43"/>
        <w:jc w:val="both"/>
        <w:rPr>
          <w:rFonts w:cs="David"/>
          <w:b/>
          <w:bCs/>
          <w:color w:val="17365D"/>
          <w:sz w:val="20"/>
          <w:szCs w:val="20"/>
          <w:rtl/>
        </w:rPr>
      </w:pPr>
      <w:r>
        <w:rPr>
          <w:noProof/>
        </w:rPr>
        <w:drawing>
          <wp:inline distT="0" distB="0" distL="0" distR="0" wp14:anchorId="55C1B8BA" wp14:editId="03D89379">
            <wp:extent cx="5486400" cy="3582670"/>
            <wp:effectExtent l="0" t="0" r="19050" b="177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E2770" w:rsidRDefault="006E2770" w:rsidP="006E2770">
      <w:pPr>
        <w:pStyle w:val="ad"/>
        <w:spacing w:after="0"/>
        <w:ind w:left="43"/>
        <w:jc w:val="both"/>
        <w:rPr>
          <w:rFonts w:cs="David"/>
          <w:color w:val="17365D"/>
          <w:sz w:val="24"/>
          <w:szCs w:val="24"/>
          <w:rtl/>
        </w:rPr>
      </w:pPr>
    </w:p>
    <w:p w:rsidR="000B49DB" w:rsidRDefault="006E2770" w:rsidP="00E9629E">
      <w:pPr>
        <w:pStyle w:val="ad"/>
        <w:ind w:left="43"/>
        <w:jc w:val="both"/>
        <w:rPr>
          <w:rFonts w:cs="David"/>
          <w:color w:val="17365D"/>
          <w:sz w:val="24"/>
          <w:szCs w:val="24"/>
          <w:rtl/>
        </w:rPr>
      </w:pPr>
      <w:r>
        <w:rPr>
          <w:rFonts w:cs="David" w:hint="cs"/>
          <w:color w:val="17365D"/>
          <w:sz w:val="24"/>
          <w:szCs w:val="24"/>
          <w:rtl/>
        </w:rPr>
        <w:t xml:space="preserve"> </w:t>
      </w:r>
      <w:r w:rsidR="00E9629E">
        <w:rPr>
          <w:rFonts w:cs="David" w:hint="cs"/>
          <w:color w:val="17365D"/>
          <w:sz w:val="24"/>
          <w:szCs w:val="24"/>
          <w:rtl/>
        </w:rPr>
        <w:t xml:space="preserve">שיעורי ההיארעות של </w:t>
      </w:r>
      <w:r w:rsidR="000B49DB" w:rsidRPr="000B49DB">
        <w:rPr>
          <w:rFonts w:cs="David" w:hint="cs"/>
          <w:color w:val="17365D"/>
          <w:sz w:val="24"/>
          <w:szCs w:val="24"/>
          <w:rtl/>
        </w:rPr>
        <w:t>גידולי מוח ממאירים בין 1990 ו-2014 בישראל</w:t>
      </w:r>
      <w:r w:rsidR="00E9629E">
        <w:rPr>
          <w:rFonts w:cs="David" w:hint="cs"/>
          <w:color w:val="17365D"/>
          <w:sz w:val="24"/>
          <w:szCs w:val="24"/>
          <w:rtl/>
        </w:rPr>
        <w:t xml:space="preserve"> </w:t>
      </w:r>
      <w:r>
        <w:rPr>
          <w:rFonts w:cs="David" w:hint="cs"/>
          <w:color w:val="17365D"/>
          <w:sz w:val="24"/>
          <w:szCs w:val="24"/>
          <w:rtl/>
        </w:rPr>
        <w:t>היו דומים בין יהודים וערבים, וגבוהים בגברים לעומת נשים</w:t>
      </w:r>
      <w:r w:rsidR="00E9629E">
        <w:rPr>
          <w:rFonts w:cs="David" w:hint="cs"/>
          <w:color w:val="17365D"/>
          <w:sz w:val="24"/>
          <w:szCs w:val="24"/>
          <w:rtl/>
        </w:rPr>
        <w:t xml:space="preserve">. </w:t>
      </w:r>
      <w:r w:rsidR="00E9629E" w:rsidRPr="000B49DB">
        <w:rPr>
          <w:rFonts w:cs="David" w:hint="cs"/>
          <w:color w:val="17365D"/>
          <w:sz w:val="24"/>
          <w:szCs w:val="24"/>
          <w:rtl/>
        </w:rPr>
        <w:t>כאשר נבחנו המגמות העתיות</w:t>
      </w:r>
      <w:r w:rsidR="00E9629E">
        <w:rPr>
          <w:rFonts w:cs="David" w:hint="cs"/>
          <w:color w:val="17365D"/>
          <w:sz w:val="24"/>
          <w:szCs w:val="24"/>
          <w:rtl/>
        </w:rPr>
        <w:t xml:space="preserve"> (1990-2014)</w:t>
      </w:r>
      <w:r>
        <w:rPr>
          <w:rFonts w:cs="David" w:hint="cs"/>
          <w:color w:val="17365D"/>
          <w:sz w:val="24"/>
          <w:szCs w:val="24"/>
          <w:rtl/>
        </w:rPr>
        <w:t xml:space="preserve">, </w:t>
      </w:r>
      <w:r w:rsidR="00E9629E">
        <w:rPr>
          <w:rFonts w:cs="David" w:hint="cs"/>
          <w:color w:val="17365D"/>
          <w:sz w:val="24"/>
          <w:szCs w:val="24"/>
          <w:rtl/>
        </w:rPr>
        <w:t>נמצא כ</w:t>
      </w:r>
      <w:r>
        <w:rPr>
          <w:rFonts w:cs="David" w:hint="cs"/>
          <w:color w:val="17365D"/>
          <w:sz w:val="24"/>
          <w:szCs w:val="24"/>
          <w:rtl/>
        </w:rPr>
        <w:t xml:space="preserve">י </w:t>
      </w:r>
      <w:r w:rsidR="000B49DB">
        <w:rPr>
          <w:rFonts w:cs="David" w:hint="cs"/>
          <w:color w:val="17365D"/>
          <w:sz w:val="24"/>
          <w:szCs w:val="24"/>
          <w:rtl/>
        </w:rPr>
        <w:t xml:space="preserve">ההיארעות הייתה </w:t>
      </w:r>
      <w:r w:rsidR="000B49DB" w:rsidRPr="006E2770">
        <w:rPr>
          <w:rFonts w:cs="David" w:hint="cs"/>
          <w:b/>
          <w:bCs/>
          <w:color w:val="17365D"/>
          <w:sz w:val="24"/>
          <w:szCs w:val="24"/>
          <w:rtl/>
        </w:rPr>
        <w:t>יציבה</w:t>
      </w:r>
      <w:r w:rsidR="000B49DB">
        <w:rPr>
          <w:rFonts w:cs="David" w:hint="cs"/>
          <w:color w:val="17365D"/>
          <w:sz w:val="24"/>
          <w:szCs w:val="24"/>
          <w:rtl/>
        </w:rPr>
        <w:t xml:space="preserve"> לאורך כל התקופה בכל קבוצות האוכלוסייה: גברים ונשים יהודים (תרשים </w:t>
      </w:r>
      <w:r>
        <w:rPr>
          <w:rFonts w:cs="David" w:hint="cs"/>
          <w:color w:val="17365D"/>
          <w:sz w:val="24"/>
          <w:szCs w:val="24"/>
          <w:rtl/>
        </w:rPr>
        <w:t>3</w:t>
      </w:r>
      <w:r w:rsidR="000B49DB">
        <w:rPr>
          <w:rFonts w:cs="David" w:hint="cs"/>
          <w:color w:val="17365D"/>
          <w:sz w:val="24"/>
          <w:szCs w:val="24"/>
          <w:rtl/>
        </w:rPr>
        <w:t xml:space="preserve">), וגברים ונשים ערבים (תרשים </w:t>
      </w:r>
      <w:r>
        <w:rPr>
          <w:rFonts w:cs="David" w:hint="cs"/>
          <w:color w:val="17365D"/>
          <w:sz w:val="24"/>
          <w:szCs w:val="24"/>
          <w:rtl/>
        </w:rPr>
        <w:t>4)</w:t>
      </w:r>
      <w:r w:rsidR="000B49DB">
        <w:rPr>
          <w:rFonts w:cs="David" w:hint="cs"/>
          <w:color w:val="17365D"/>
          <w:sz w:val="24"/>
          <w:szCs w:val="24"/>
          <w:rtl/>
        </w:rPr>
        <w:t>.</w:t>
      </w:r>
      <w:r w:rsidR="000B49DB" w:rsidRPr="000B49DB">
        <w:rPr>
          <w:rFonts w:cs="David" w:hint="cs"/>
          <w:color w:val="17365D"/>
          <w:sz w:val="24"/>
          <w:szCs w:val="24"/>
          <w:rtl/>
        </w:rPr>
        <w:t xml:space="preserve"> </w:t>
      </w:r>
    </w:p>
    <w:p w:rsidR="000B49DB" w:rsidRDefault="000B49DB" w:rsidP="006E2770">
      <w:pPr>
        <w:pStyle w:val="ad"/>
        <w:spacing w:after="0"/>
        <w:ind w:left="43"/>
        <w:jc w:val="both"/>
        <w:rPr>
          <w:rFonts w:cs="David"/>
          <w:color w:val="17365D"/>
          <w:sz w:val="24"/>
          <w:szCs w:val="24"/>
          <w:rtl/>
        </w:rPr>
      </w:pPr>
    </w:p>
    <w:p w:rsidR="000B49DB" w:rsidRPr="000B49DB" w:rsidRDefault="000B49DB" w:rsidP="002A5C35">
      <w:pPr>
        <w:pStyle w:val="ad"/>
        <w:spacing w:after="0"/>
        <w:ind w:left="43"/>
        <w:jc w:val="both"/>
        <w:rPr>
          <w:rFonts w:cs="David"/>
          <w:b/>
          <w:bCs/>
          <w:color w:val="17365D"/>
          <w:sz w:val="20"/>
          <w:szCs w:val="20"/>
          <w:rtl/>
        </w:rPr>
      </w:pPr>
      <w:r w:rsidRPr="000B49DB">
        <w:rPr>
          <w:rFonts w:cs="David" w:hint="cs"/>
          <w:color w:val="17365D"/>
          <w:sz w:val="20"/>
          <w:szCs w:val="20"/>
          <w:rtl/>
        </w:rPr>
        <w:t xml:space="preserve">תרשים </w:t>
      </w:r>
      <w:r w:rsidR="002A5C35">
        <w:rPr>
          <w:rFonts w:cs="David" w:hint="cs"/>
          <w:color w:val="17365D"/>
          <w:sz w:val="20"/>
          <w:szCs w:val="20"/>
          <w:rtl/>
        </w:rPr>
        <w:t>3</w:t>
      </w:r>
      <w:r w:rsidRPr="000B49DB">
        <w:rPr>
          <w:rFonts w:cs="David" w:hint="cs"/>
          <w:color w:val="17365D"/>
          <w:sz w:val="20"/>
          <w:szCs w:val="20"/>
          <w:rtl/>
        </w:rPr>
        <w:t xml:space="preserve">: </w:t>
      </w:r>
      <w:r w:rsidRPr="000B49DB">
        <w:rPr>
          <w:rFonts w:cs="David" w:hint="cs"/>
          <w:b/>
          <w:bCs/>
          <w:color w:val="17365D"/>
          <w:sz w:val="20"/>
          <w:szCs w:val="20"/>
          <w:rtl/>
        </w:rPr>
        <w:t xml:space="preserve">מגמות </w:t>
      </w:r>
      <w:r w:rsidR="00E9629E">
        <w:rPr>
          <w:rFonts w:cs="David" w:hint="cs"/>
          <w:b/>
          <w:bCs/>
          <w:color w:val="17365D"/>
          <w:sz w:val="20"/>
          <w:szCs w:val="20"/>
          <w:rtl/>
        </w:rPr>
        <w:t xml:space="preserve">עתיות </w:t>
      </w:r>
      <w:r w:rsidRPr="000B49DB">
        <w:rPr>
          <w:rFonts w:cs="David" w:hint="cs"/>
          <w:b/>
          <w:bCs/>
          <w:color w:val="17365D"/>
          <w:sz w:val="20"/>
          <w:szCs w:val="20"/>
          <w:rtl/>
        </w:rPr>
        <w:t>בהיארעות גידולים ממאירים של המח ומערכת העצבים המרכזית ב-1990-2014 בישראל - יהודים</w:t>
      </w:r>
    </w:p>
    <w:p w:rsidR="000B49DB" w:rsidRDefault="000B49DB" w:rsidP="006E2770">
      <w:pPr>
        <w:pStyle w:val="ad"/>
        <w:spacing w:after="0"/>
        <w:ind w:left="43"/>
        <w:jc w:val="both"/>
        <w:rPr>
          <w:rFonts w:cs="David"/>
          <w:b/>
          <w:bCs/>
          <w:color w:val="17365D"/>
          <w:sz w:val="24"/>
          <w:szCs w:val="24"/>
          <w:rtl/>
        </w:rPr>
      </w:pPr>
      <w:r>
        <w:rPr>
          <w:noProof/>
        </w:rPr>
        <w:drawing>
          <wp:inline distT="0" distB="0" distL="0" distR="0" wp14:anchorId="269E474D" wp14:editId="21220D3F">
            <wp:extent cx="5425440" cy="3086100"/>
            <wp:effectExtent l="0" t="0" r="2286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B49DB" w:rsidRDefault="000B49DB" w:rsidP="002A5C35">
      <w:pPr>
        <w:spacing w:after="0" w:line="240" w:lineRule="auto"/>
        <w:ind w:left="43" w:right="43"/>
        <w:jc w:val="both"/>
        <w:rPr>
          <w:rFonts w:cs="David"/>
          <w:b/>
          <w:bCs/>
          <w:color w:val="17365D"/>
          <w:sz w:val="24"/>
          <w:szCs w:val="24"/>
        </w:rPr>
      </w:pPr>
      <w:r w:rsidRPr="000B49DB">
        <w:rPr>
          <w:rFonts w:cs="David" w:hint="cs"/>
          <w:color w:val="17365D"/>
          <w:sz w:val="20"/>
          <w:szCs w:val="20"/>
          <w:rtl/>
        </w:rPr>
        <w:t xml:space="preserve">תרשים </w:t>
      </w:r>
      <w:r w:rsidR="002A5C35">
        <w:rPr>
          <w:rFonts w:cs="David" w:hint="cs"/>
          <w:color w:val="17365D"/>
          <w:sz w:val="20"/>
          <w:szCs w:val="20"/>
          <w:rtl/>
        </w:rPr>
        <w:t>4</w:t>
      </w:r>
      <w:r w:rsidRPr="000B49DB">
        <w:rPr>
          <w:rFonts w:cs="David" w:hint="cs"/>
          <w:color w:val="17365D"/>
          <w:sz w:val="20"/>
          <w:szCs w:val="20"/>
          <w:rtl/>
        </w:rPr>
        <w:t xml:space="preserve">: </w:t>
      </w:r>
      <w:r w:rsidRPr="000B49DB">
        <w:rPr>
          <w:rFonts w:cs="David" w:hint="cs"/>
          <w:b/>
          <w:bCs/>
          <w:color w:val="17365D"/>
          <w:sz w:val="20"/>
          <w:szCs w:val="20"/>
          <w:rtl/>
        </w:rPr>
        <w:t xml:space="preserve">מגמות </w:t>
      </w:r>
      <w:r w:rsidR="00E9629E">
        <w:rPr>
          <w:rFonts w:cs="David" w:hint="cs"/>
          <w:b/>
          <w:bCs/>
          <w:color w:val="17365D"/>
          <w:sz w:val="20"/>
          <w:szCs w:val="20"/>
          <w:rtl/>
        </w:rPr>
        <w:t xml:space="preserve">עתיות </w:t>
      </w:r>
      <w:r w:rsidRPr="000B49DB">
        <w:rPr>
          <w:rFonts w:cs="David" w:hint="cs"/>
          <w:b/>
          <w:bCs/>
          <w:color w:val="17365D"/>
          <w:sz w:val="20"/>
          <w:szCs w:val="20"/>
          <w:rtl/>
        </w:rPr>
        <w:t xml:space="preserve">בהיארעות גידולים ממאירים של המח ומערכת העצבים המרכזית ב-1990-2014 בישראל </w:t>
      </w:r>
      <w:r>
        <w:rPr>
          <w:rFonts w:cs="David"/>
          <w:b/>
          <w:bCs/>
          <w:color w:val="17365D"/>
          <w:sz w:val="20"/>
          <w:szCs w:val="20"/>
          <w:rtl/>
        </w:rPr>
        <w:t>–</w:t>
      </w:r>
      <w:r w:rsidRPr="000B49DB">
        <w:rPr>
          <w:rFonts w:cs="David" w:hint="cs"/>
          <w:b/>
          <w:bCs/>
          <w:color w:val="17365D"/>
          <w:sz w:val="20"/>
          <w:szCs w:val="20"/>
          <w:rtl/>
        </w:rPr>
        <w:t xml:space="preserve"> </w:t>
      </w:r>
      <w:r>
        <w:rPr>
          <w:rFonts w:cs="David" w:hint="cs"/>
          <w:b/>
          <w:bCs/>
          <w:color w:val="17365D"/>
          <w:sz w:val="20"/>
          <w:szCs w:val="20"/>
          <w:rtl/>
        </w:rPr>
        <w:t>ערב</w:t>
      </w:r>
      <w:r w:rsidRPr="000B49DB">
        <w:rPr>
          <w:rFonts w:cs="David" w:hint="cs"/>
          <w:b/>
          <w:bCs/>
          <w:color w:val="17365D"/>
          <w:sz w:val="20"/>
          <w:szCs w:val="20"/>
          <w:rtl/>
        </w:rPr>
        <w:t>ים</w:t>
      </w:r>
    </w:p>
    <w:p w:rsidR="000B49DB" w:rsidRPr="000B49DB" w:rsidRDefault="000B49DB" w:rsidP="006E2770">
      <w:pPr>
        <w:pStyle w:val="ad"/>
        <w:spacing w:after="0"/>
        <w:ind w:left="43"/>
        <w:jc w:val="both"/>
        <w:rPr>
          <w:rFonts w:cs="David"/>
          <w:b/>
          <w:bCs/>
          <w:color w:val="17365D"/>
          <w:sz w:val="24"/>
          <w:szCs w:val="24"/>
        </w:rPr>
      </w:pPr>
      <w:r>
        <w:rPr>
          <w:noProof/>
        </w:rPr>
        <w:drawing>
          <wp:inline distT="0" distB="0" distL="0" distR="0" wp14:anchorId="3262ED2C" wp14:editId="18318F2C">
            <wp:extent cx="5448300" cy="32385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53462" w:rsidRDefault="00F53462" w:rsidP="006E2770">
      <w:pPr>
        <w:pStyle w:val="ad"/>
        <w:spacing w:after="0"/>
        <w:ind w:left="43"/>
        <w:jc w:val="both"/>
        <w:rPr>
          <w:rFonts w:cs="David"/>
          <w:b/>
          <w:bCs/>
          <w:color w:val="17365D"/>
          <w:sz w:val="28"/>
          <w:szCs w:val="28"/>
          <w:rtl/>
        </w:rPr>
      </w:pPr>
    </w:p>
    <w:p w:rsidR="002A5C35" w:rsidRDefault="002A5C35" w:rsidP="009C2F2C">
      <w:pPr>
        <w:pStyle w:val="ad"/>
        <w:spacing w:after="0"/>
        <w:ind w:left="43"/>
        <w:jc w:val="both"/>
        <w:rPr>
          <w:rFonts w:cs="David"/>
          <w:color w:val="17365D"/>
          <w:sz w:val="24"/>
          <w:szCs w:val="24"/>
          <w:rtl/>
        </w:rPr>
      </w:pPr>
      <w:r>
        <w:rPr>
          <w:rFonts w:cs="David" w:hint="cs"/>
          <w:color w:val="17365D"/>
          <w:sz w:val="24"/>
          <w:szCs w:val="24"/>
          <w:rtl/>
        </w:rPr>
        <w:t>כאשר נבחנ</w:t>
      </w:r>
      <w:r w:rsidR="005F515F">
        <w:rPr>
          <w:rFonts w:cs="David" w:hint="cs"/>
          <w:color w:val="17365D"/>
          <w:sz w:val="24"/>
          <w:szCs w:val="24"/>
          <w:rtl/>
        </w:rPr>
        <w:t>ה</w:t>
      </w:r>
      <w:r>
        <w:rPr>
          <w:rFonts w:cs="David" w:hint="cs"/>
          <w:color w:val="17365D"/>
          <w:sz w:val="24"/>
          <w:szCs w:val="24"/>
          <w:rtl/>
        </w:rPr>
        <w:t xml:space="preserve"> בנפרד המגמ</w:t>
      </w:r>
      <w:r w:rsidR="005F515F">
        <w:rPr>
          <w:rFonts w:cs="David" w:hint="cs"/>
          <w:color w:val="17365D"/>
          <w:sz w:val="24"/>
          <w:szCs w:val="24"/>
          <w:rtl/>
        </w:rPr>
        <w:t>ה</w:t>
      </w:r>
      <w:r>
        <w:rPr>
          <w:rFonts w:cs="David" w:hint="cs"/>
          <w:color w:val="17365D"/>
          <w:sz w:val="24"/>
          <w:szCs w:val="24"/>
          <w:rtl/>
        </w:rPr>
        <w:t xml:space="preserve"> העתי</w:t>
      </w:r>
      <w:r w:rsidR="005F515F">
        <w:rPr>
          <w:rFonts w:cs="David" w:hint="cs"/>
          <w:color w:val="17365D"/>
          <w:sz w:val="24"/>
          <w:szCs w:val="24"/>
          <w:rtl/>
        </w:rPr>
        <w:t xml:space="preserve">ת </w:t>
      </w:r>
      <w:r w:rsidR="009C2F2C">
        <w:rPr>
          <w:rFonts w:cs="David" w:hint="cs"/>
          <w:color w:val="17365D"/>
          <w:sz w:val="24"/>
          <w:szCs w:val="24"/>
          <w:rtl/>
        </w:rPr>
        <w:t xml:space="preserve">(1990-2014) </w:t>
      </w:r>
      <w:r w:rsidR="005F515F">
        <w:rPr>
          <w:rFonts w:cs="David" w:hint="cs"/>
          <w:color w:val="17365D"/>
          <w:sz w:val="24"/>
          <w:szCs w:val="24"/>
          <w:rtl/>
        </w:rPr>
        <w:t>בהיארעות של</w:t>
      </w:r>
      <w:r>
        <w:rPr>
          <w:rFonts w:cs="David" w:hint="cs"/>
          <w:color w:val="17365D"/>
          <w:sz w:val="24"/>
          <w:szCs w:val="24"/>
          <w:rtl/>
        </w:rPr>
        <w:t xml:space="preserve"> </w:t>
      </w:r>
      <w:r w:rsidRPr="005952EB">
        <w:rPr>
          <w:rFonts w:cs="David" w:hint="cs"/>
          <w:b/>
          <w:bCs/>
          <w:color w:val="17365D"/>
          <w:sz w:val="24"/>
          <w:szCs w:val="24"/>
          <w:rtl/>
        </w:rPr>
        <w:t xml:space="preserve">קבוצת </w:t>
      </w:r>
      <w:proofErr w:type="spellStart"/>
      <w:r w:rsidRPr="005952EB">
        <w:rPr>
          <w:rFonts w:cs="David" w:hint="cs"/>
          <w:b/>
          <w:bCs/>
          <w:color w:val="17365D"/>
          <w:sz w:val="24"/>
          <w:szCs w:val="24"/>
          <w:rtl/>
        </w:rPr>
        <w:t>הגליומות</w:t>
      </w:r>
      <w:proofErr w:type="spellEnd"/>
      <w:r>
        <w:rPr>
          <w:rFonts w:cs="David" w:hint="cs"/>
          <w:color w:val="17365D"/>
          <w:sz w:val="24"/>
          <w:szCs w:val="24"/>
          <w:rtl/>
        </w:rPr>
        <w:t xml:space="preserve"> (</w:t>
      </w:r>
      <w:proofErr w:type="spellStart"/>
      <w:r>
        <w:rPr>
          <w:rFonts w:cs="David" w:hint="cs"/>
          <w:color w:val="17365D"/>
          <w:sz w:val="24"/>
          <w:szCs w:val="24"/>
          <w:rtl/>
        </w:rPr>
        <w:t>גליובלסטומה</w:t>
      </w:r>
      <w:proofErr w:type="spellEnd"/>
      <w:r>
        <w:rPr>
          <w:rFonts w:cs="David" w:hint="cs"/>
          <w:color w:val="17365D"/>
          <w:sz w:val="24"/>
          <w:szCs w:val="24"/>
          <w:rtl/>
        </w:rPr>
        <w:t xml:space="preserve">, </w:t>
      </w:r>
      <w:proofErr w:type="spellStart"/>
      <w:r>
        <w:rPr>
          <w:rFonts w:cs="David" w:hint="cs"/>
          <w:color w:val="17365D"/>
          <w:sz w:val="24"/>
          <w:szCs w:val="24"/>
          <w:rtl/>
        </w:rPr>
        <w:t>אסטרוציטומה</w:t>
      </w:r>
      <w:proofErr w:type="spellEnd"/>
      <w:r>
        <w:rPr>
          <w:rFonts w:cs="David" w:hint="cs"/>
          <w:color w:val="17365D"/>
          <w:sz w:val="24"/>
          <w:szCs w:val="24"/>
          <w:rtl/>
        </w:rPr>
        <w:t xml:space="preserve">, </w:t>
      </w:r>
      <w:proofErr w:type="spellStart"/>
      <w:r>
        <w:rPr>
          <w:rFonts w:cs="David" w:hint="cs"/>
          <w:color w:val="17365D"/>
          <w:sz w:val="24"/>
          <w:szCs w:val="24"/>
          <w:rtl/>
        </w:rPr>
        <w:t>גליומות</w:t>
      </w:r>
      <w:proofErr w:type="spellEnd"/>
      <w:r>
        <w:rPr>
          <w:rFonts w:cs="David" w:hint="cs"/>
          <w:color w:val="17365D"/>
          <w:sz w:val="24"/>
          <w:szCs w:val="24"/>
          <w:rtl/>
        </w:rPr>
        <w:t xml:space="preserve"> אחרות), שהיוו 86% מכלל הגידולים הממאירים במח ובמערכת העצבים המרכזית, </w:t>
      </w:r>
      <w:r w:rsidRPr="000F1A0F">
        <w:rPr>
          <w:rFonts w:cs="David" w:hint="cs"/>
          <w:b/>
          <w:bCs/>
          <w:color w:val="17365D"/>
          <w:sz w:val="24"/>
          <w:szCs w:val="24"/>
          <w:rtl/>
        </w:rPr>
        <w:t>נ</w:t>
      </w:r>
      <w:r w:rsidR="005F515F" w:rsidRPr="000F1A0F">
        <w:rPr>
          <w:rFonts w:cs="David" w:hint="cs"/>
          <w:b/>
          <w:bCs/>
          <w:color w:val="17365D"/>
          <w:sz w:val="24"/>
          <w:szCs w:val="24"/>
          <w:rtl/>
        </w:rPr>
        <w:t xml:space="preserve">צפתה יציבות </w:t>
      </w:r>
      <w:r w:rsidRPr="000F1A0F">
        <w:rPr>
          <w:rFonts w:cs="David" w:hint="cs"/>
          <w:b/>
          <w:bCs/>
          <w:color w:val="17365D"/>
          <w:sz w:val="24"/>
          <w:szCs w:val="24"/>
          <w:rtl/>
        </w:rPr>
        <w:t>בגברים יהודי</w:t>
      </w:r>
      <w:r w:rsidR="005F515F" w:rsidRPr="000F1A0F">
        <w:rPr>
          <w:rFonts w:cs="David" w:hint="cs"/>
          <w:b/>
          <w:bCs/>
          <w:color w:val="17365D"/>
          <w:sz w:val="24"/>
          <w:szCs w:val="24"/>
          <w:rtl/>
        </w:rPr>
        <w:t xml:space="preserve">ם, בנשים יהודיות, ובנשים ערביות </w:t>
      </w:r>
      <w:r w:rsidRPr="000F1A0F">
        <w:rPr>
          <w:rFonts w:cs="David" w:hint="cs"/>
          <w:b/>
          <w:bCs/>
          <w:color w:val="17365D"/>
          <w:sz w:val="24"/>
          <w:szCs w:val="24"/>
          <w:rtl/>
        </w:rPr>
        <w:t>לאורך כל התקופה. בגברים ערבים</w:t>
      </w:r>
      <w:r w:rsidR="005F515F" w:rsidRPr="000F1A0F">
        <w:rPr>
          <w:rFonts w:cs="David" w:hint="cs"/>
          <w:b/>
          <w:bCs/>
          <w:color w:val="17365D"/>
          <w:sz w:val="24"/>
          <w:szCs w:val="24"/>
          <w:rtl/>
        </w:rPr>
        <w:t>,</w:t>
      </w:r>
      <w:r w:rsidR="005F515F">
        <w:rPr>
          <w:rFonts w:cs="David" w:hint="cs"/>
          <w:color w:val="17365D"/>
          <w:sz w:val="24"/>
          <w:szCs w:val="24"/>
          <w:rtl/>
        </w:rPr>
        <w:t xml:space="preserve"> לעומת זאת, </w:t>
      </w:r>
      <w:r w:rsidRPr="000F1A0F">
        <w:rPr>
          <w:rFonts w:cs="David" w:hint="cs"/>
          <w:b/>
          <w:bCs/>
          <w:color w:val="17365D"/>
          <w:sz w:val="24"/>
          <w:szCs w:val="24"/>
          <w:rtl/>
        </w:rPr>
        <w:t xml:space="preserve">נצפתה עלייה מובהקת בהיארעות </w:t>
      </w:r>
      <w:r w:rsidR="005952EB" w:rsidRPr="000F1A0F">
        <w:rPr>
          <w:rFonts w:cs="David" w:hint="cs"/>
          <w:b/>
          <w:bCs/>
          <w:color w:val="17365D"/>
          <w:sz w:val="24"/>
          <w:szCs w:val="24"/>
          <w:rtl/>
        </w:rPr>
        <w:t>בעשור הראשון למעקב</w:t>
      </w:r>
      <w:r w:rsidR="005952EB">
        <w:rPr>
          <w:rFonts w:cs="David" w:hint="cs"/>
          <w:color w:val="17365D"/>
          <w:sz w:val="24"/>
          <w:szCs w:val="24"/>
          <w:rtl/>
        </w:rPr>
        <w:t xml:space="preserve"> (1990-2001) </w:t>
      </w:r>
      <w:r>
        <w:rPr>
          <w:rFonts w:cs="David" w:hint="cs"/>
          <w:color w:val="17365D"/>
          <w:sz w:val="24"/>
          <w:szCs w:val="24"/>
          <w:rtl/>
        </w:rPr>
        <w:t xml:space="preserve">בשיעור שנתי של 8% </w:t>
      </w:r>
      <w:r>
        <w:rPr>
          <w:rFonts w:cs="David"/>
          <w:color w:val="17365D"/>
          <w:sz w:val="24"/>
          <w:szCs w:val="24"/>
        </w:rPr>
        <w:t>(APC</w:t>
      </w:r>
      <w:r w:rsidRPr="002A5C35">
        <w:rPr>
          <w:rFonts w:cs="David"/>
          <w:color w:val="17365D"/>
          <w:sz w:val="24"/>
          <w:szCs w:val="24"/>
          <w:vertAlign w:val="subscript"/>
        </w:rPr>
        <w:t>1990-2001</w:t>
      </w:r>
      <w:r>
        <w:rPr>
          <w:rFonts w:cs="David"/>
          <w:color w:val="17365D"/>
          <w:sz w:val="24"/>
          <w:szCs w:val="24"/>
        </w:rPr>
        <w:t>: +8.1%)</w:t>
      </w:r>
      <w:r>
        <w:rPr>
          <w:rFonts w:cs="David" w:hint="cs"/>
          <w:color w:val="17365D"/>
          <w:sz w:val="24"/>
          <w:szCs w:val="24"/>
          <w:rtl/>
        </w:rPr>
        <w:t xml:space="preserve"> </w:t>
      </w:r>
      <w:r w:rsidRPr="000F1A0F">
        <w:rPr>
          <w:rFonts w:cs="David" w:hint="cs"/>
          <w:b/>
          <w:bCs/>
          <w:color w:val="17365D"/>
          <w:sz w:val="24"/>
          <w:szCs w:val="24"/>
          <w:rtl/>
        </w:rPr>
        <w:t>אולם משנת 2002 השיעורים התייצבו</w:t>
      </w:r>
      <w:r w:rsidR="005F515F" w:rsidRPr="000F1A0F">
        <w:rPr>
          <w:rFonts w:cs="David" w:hint="cs"/>
          <w:b/>
          <w:bCs/>
          <w:color w:val="17365D"/>
          <w:sz w:val="24"/>
          <w:szCs w:val="24"/>
          <w:rtl/>
        </w:rPr>
        <w:t xml:space="preserve"> גם בגברים</w:t>
      </w:r>
      <w:r w:rsidR="005F515F">
        <w:rPr>
          <w:rFonts w:cs="David" w:hint="cs"/>
          <w:color w:val="17365D"/>
          <w:sz w:val="24"/>
          <w:szCs w:val="24"/>
          <w:rtl/>
        </w:rPr>
        <w:t xml:space="preserve"> </w:t>
      </w:r>
      <w:r w:rsidR="005F515F" w:rsidRPr="000F1A0F">
        <w:rPr>
          <w:rFonts w:cs="David" w:hint="cs"/>
          <w:b/>
          <w:bCs/>
          <w:color w:val="17365D"/>
          <w:sz w:val="24"/>
          <w:szCs w:val="24"/>
          <w:rtl/>
        </w:rPr>
        <w:t>ערבים</w:t>
      </w:r>
      <w:r>
        <w:rPr>
          <w:rFonts w:cs="David" w:hint="cs"/>
          <w:color w:val="17365D"/>
          <w:sz w:val="24"/>
          <w:szCs w:val="24"/>
          <w:rtl/>
        </w:rPr>
        <w:t>.</w:t>
      </w:r>
    </w:p>
    <w:p w:rsidR="005952EB" w:rsidRDefault="005952EB" w:rsidP="005952EB">
      <w:pPr>
        <w:pStyle w:val="ad"/>
        <w:spacing w:after="0"/>
        <w:ind w:left="43"/>
        <w:jc w:val="both"/>
        <w:rPr>
          <w:rFonts w:cs="David"/>
          <w:color w:val="17365D"/>
          <w:sz w:val="24"/>
          <w:szCs w:val="24"/>
          <w:rtl/>
        </w:rPr>
      </w:pPr>
    </w:p>
    <w:p w:rsidR="005952EB" w:rsidRDefault="005952EB" w:rsidP="00E41381">
      <w:pPr>
        <w:pStyle w:val="ad"/>
        <w:spacing w:after="0"/>
        <w:ind w:left="43"/>
        <w:jc w:val="both"/>
        <w:rPr>
          <w:rFonts w:cs="David"/>
          <w:color w:val="17365D"/>
          <w:sz w:val="24"/>
          <w:szCs w:val="24"/>
          <w:rtl/>
        </w:rPr>
      </w:pPr>
      <w:r>
        <w:rPr>
          <w:rFonts w:cs="David" w:hint="cs"/>
          <w:color w:val="17365D"/>
          <w:sz w:val="24"/>
          <w:szCs w:val="24"/>
          <w:rtl/>
        </w:rPr>
        <w:t>בחינת המגמ</w:t>
      </w:r>
      <w:r w:rsidR="005F515F">
        <w:rPr>
          <w:rFonts w:cs="David" w:hint="cs"/>
          <w:color w:val="17365D"/>
          <w:sz w:val="24"/>
          <w:szCs w:val="24"/>
          <w:rtl/>
        </w:rPr>
        <w:t>ה</w:t>
      </w:r>
      <w:r>
        <w:rPr>
          <w:rFonts w:cs="David" w:hint="cs"/>
          <w:color w:val="17365D"/>
          <w:sz w:val="24"/>
          <w:szCs w:val="24"/>
          <w:rtl/>
        </w:rPr>
        <w:t xml:space="preserve"> העיתית עבור </w:t>
      </w:r>
      <w:r w:rsidRPr="005952EB">
        <w:rPr>
          <w:rFonts w:cs="David" w:hint="cs"/>
          <w:b/>
          <w:bCs/>
          <w:color w:val="17365D"/>
          <w:sz w:val="24"/>
          <w:szCs w:val="24"/>
          <w:rtl/>
        </w:rPr>
        <w:t>גליובלסטומות בלבד</w:t>
      </w:r>
      <w:r>
        <w:rPr>
          <w:rFonts w:cs="David" w:hint="cs"/>
          <w:color w:val="17365D"/>
          <w:sz w:val="24"/>
          <w:szCs w:val="24"/>
          <w:rtl/>
        </w:rPr>
        <w:t xml:space="preserve"> (כ-40% מכלל גידולי המח הממאירים וכמחצית מכלל </w:t>
      </w:r>
      <w:proofErr w:type="spellStart"/>
      <w:r>
        <w:rPr>
          <w:rFonts w:cs="David" w:hint="cs"/>
          <w:color w:val="17365D"/>
          <w:sz w:val="24"/>
          <w:szCs w:val="24"/>
          <w:rtl/>
        </w:rPr>
        <w:t>הגליומות</w:t>
      </w:r>
      <w:proofErr w:type="spellEnd"/>
      <w:r>
        <w:rPr>
          <w:rFonts w:cs="David" w:hint="cs"/>
          <w:color w:val="17365D"/>
          <w:sz w:val="24"/>
          <w:szCs w:val="24"/>
          <w:rtl/>
        </w:rPr>
        <w:t>)</w:t>
      </w:r>
      <w:r w:rsidR="000D330B">
        <w:rPr>
          <w:rFonts w:cs="David" w:hint="cs"/>
          <w:color w:val="17365D"/>
          <w:sz w:val="24"/>
          <w:szCs w:val="24"/>
          <w:rtl/>
        </w:rPr>
        <w:t xml:space="preserve"> הוגבלה בערבים לתקופה 1995-2014, משום שבשנים המוקדמות יותר מספר המקרים היה קטן. </w:t>
      </w:r>
      <w:r w:rsidRPr="000F1A0F">
        <w:rPr>
          <w:rFonts w:cs="David" w:hint="cs"/>
          <w:b/>
          <w:bCs/>
          <w:color w:val="17365D"/>
          <w:sz w:val="24"/>
          <w:szCs w:val="24"/>
          <w:rtl/>
        </w:rPr>
        <w:t xml:space="preserve">בכל קבוצות האוכלוסייה - גברים יהודים, נשים יהודיות, גברים ערבים ונשים ערביות </w:t>
      </w:r>
      <w:r w:rsidR="000D330B" w:rsidRPr="000F1A0F">
        <w:rPr>
          <w:rFonts w:cs="David"/>
          <w:b/>
          <w:bCs/>
          <w:color w:val="17365D"/>
          <w:sz w:val="24"/>
          <w:szCs w:val="24"/>
          <w:rtl/>
        </w:rPr>
        <w:t>–</w:t>
      </w:r>
      <w:r w:rsidRPr="000F1A0F">
        <w:rPr>
          <w:rFonts w:cs="David" w:hint="cs"/>
          <w:b/>
          <w:bCs/>
          <w:color w:val="17365D"/>
          <w:sz w:val="24"/>
          <w:szCs w:val="24"/>
          <w:rtl/>
        </w:rPr>
        <w:t xml:space="preserve"> </w:t>
      </w:r>
      <w:r w:rsidR="000D330B" w:rsidRPr="000F1A0F">
        <w:rPr>
          <w:rFonts w:cs="David" w:hint="cs"/>
          <w:b/>
          <w:bCs/>
          <w:color w:val="17365D"/>
          <w:sz w:val="24"/>
          <w:szCs w:val="24"/>
          <w:rtl/>
        </w:rPr>
        <w:t xml:space="preserve">ההיארעות הייתה </w:t>
      </w:r>
      <w:r w:rsidRPr="000F1A0F">
        <w:rPr>
          <w:rFonts w:cs="David" w:hint="cs"/>
          <w:b/>
          <w:bCs/>
          <w:color w:val="17365D"/>
          <w:sz w:val="24"/>
          <w:szCs w:val="24"/>
          <w:rtl/>
        </w:rPr>
        <w:t>יציב</w:t>
      </w:r>
      <w:r w:rsidR="000D330B" w:rsidRPr="000F1A0F">
        <w:rPr>
          <w:rFonts w:cs="David" w:hint="cs"/>
          <w:b/>
          <w:bCs/>
          <w:color w:val="17365D"/>
          <w:sz w:val="24"/>
          <w:szCs w:val="24"/>
          <w:rtl/>
        </w:rPr>
        <w:t xml:space="preserve">ה </w:t>
      </w:r>
      <w:r w:rsidRPr="000F1A0F">
        <w:rPr>
          <w:rFonts w:cs="David" w:hint="cs"/>
          <w:b/>
          <w:bCs/>
          <w:color w:val="17365D"/>
          <w:sz w:val="24"/>
          <w:szCs w:val="24"/>
          <w:rtl/>
        </w:rPr>
        <w:t>לאורך כל התקופה</w:t>
      </w:r>
      <w:r>
        <w:rPr>
          <w:rFonts w:cs="David" w:hint="cs"/>
          <w:color w:val="17365D"/>
          <w:sz w:val="24"/>
          <w:szCs w:val="24"/>
          <w:rtl/>
        </w:rPr>
        <w:t>.</w:t>
      </w:r>
    </w:p>
    <w:p w:rsidR="005952EB" w:rsidRPr="006E2770" w:rsidRDefault="005952EB" w:rsidP="005952EB">
      <w:pPr>
        <w:pStyle w:val="ad"/>
        <w:spacing w:after="0"/>
        <w:ind w:left="43"/>
        <w:jc w:val="both"/>
        <w:rPr>
          <w:rFonts w:cs="David"/>
          <w:color w:val="17365D"/>
          <w:sz w:val="24"/>
          <w:szCs w:val="24"/>
          <w:rtl/>
        </w:rPr>
      </w:pPr>
    </w:p>
    <w:p w:rsidR="00F53462" w:rsidRDefault="002A5C35" w:rsidP="006E2770">
      <w:pPr>
        <w:pStyle w:val="ad"/>
        <w:spacing w:after="0"/>
        <w:ind w:left="43"/>
        <w:jc w:val="both"/>
        <w:rPr>
          <w:rFonts w:cs="David"/>
          <w:color w:val="17365D"/>
          <w:sz w:val="24"/>
          <w:szCs w:val="24"/>
          <w:rtl/>
        </w:rPr>
      </w:pPr>
      <w:r>
        <w:rPr>
          <w:rFonts w:cs="David" w:hint="cs"/>
          <w:color w:val="17365D"/>
          <w:sz w:val="24"/>
          <w:szCs w:val="24"/>
          <w:rtl/>
        </w:rPr>
        <w:t>עבור קרוב למחצית מגידולי המח הממאירים שנבחנו (44%-57%), צד הגידול קודד כ"לא ידוע" או כ"איבר ללא  זוגיות", אולם במקרים בהם צוין הצד, לא נראה כי קיימת עדיפות לגידולים בצד ימין או בצד שמאל לכל אורך התקופה (תרשים 5).</w:t>
      </w:r>
    </w:p>
    <w:p w:rsidR="005952EB" w:rsidRDefault="005952EB" w:rsidP="005952EB">
      <w:pPr>
        <w:spacing w:after="0" w:line="240" w:lineRule="auto"/>
        <w:ind w:left="43" w:right="43"/>
        <w:jc w:val="both"/>
        <w:rPr>
          <w:rFonts w:cs="David"/>
          <w:color w:val="17365D"/>
          <w:sz w:val="20"/>
          <w:szCs w:val="20"/>
          <w:rtl/>
        </w:rPr>
      </w:pPr>
    </w:p>
    <w:p w:rsidR="002A5C35" w:rsidRDefault="002A5C35" w:rsidP="005952EB">
      <w:pPr>
        <w:spacing w:after="0" w:line="240" w:lineRule="auto"/>
        <w:ind w:left="43" w:right="43"/>
        <w:jc w:val="both"/>
        <w:rPr>
          <w:rFonts w:cs="David"/>
          <w:b/>
          <w:bCs/>
          <w:color w:val="17365D"/>
          <w:sz w:val="24"/>
          <w:szCs w:val="24"/>
        </w:rPr>
      </w:pPr>
      <w:r w:rsidRPr="000B49DB">
        <w:rPr>
          <w:rFonts w:cs="David" w:hint="cs"/>
          <w:color w:val="17365D"/>
          <w:sz w:val="20"/>
          <w:szCs w:val="20"/>
          <w:rtl/>
        </w:rPr>
        <w:t xml:space="preserve">תרשים </w:t>
      </w:r>
      <w:r>
        <w:rPr>
          <w:rFonts w:cs="David" w:hint="cs"/>
          <w:color w:val="17365D"/>
          <w:sz w:val="20"/>
          <w:szCs w:val="20"/>
          <w:rtl/>
        </w:rPr>
        <w:t>5</w:t>
      </w:r>
      <w:r w:rsidRPr="000B49DB">
        <w:rPr>
          <w:rFonts w:cs="David" w:hint="cs"/>
          <w:color w:val="17365D"/>
          <w:sz w:val="20"/>
          <w:szCs w:val="20"/>
          <w:rtl/>
        </w:rPr>
        <w:t xml:space="preserve">: </w:t>
      </w:r>
      <w:r w:rsidR="005952EB">
        <w:rPr>
          <w:rFonts w:cs="David" w:hint="cs"/>
          <w:b/>
          <w:bCs/>
          <w:color w:val="17365D"/>
          <w:sz w:val="20"/>
          <w:szCs w:val="20"/>
          <w:rtl/>
        </w:rPr>
        <w:t>צד הגידול הסרטני בגידולים ממאירים של המח ומערכת העצבים המרכזית כאחוז מכלל המקרים, לפי שנה</w:t>
      </w:r>
    </w:p>
    <w:p w:rsidR="002A5C35" w:rsidRPr="002A5C35" w:rsidRDefault="005952EB" w:rsidP="006E2770">
      <w:pPr>
        <w:pStyle w:val="ad"/>
        <w:spacing w:after="0"/>
        <w:ind w:left="43"/>
        <w:jc w:val="both"/>
        <w:rPr>
          <w:rFonts w:cs="David"/>
          <w:color w:val="17365D"/>
          <w:sz w:val="24"/>
          <w:szCs w:val="24"/>
        </w:rPr>
      </w:pPr>
      <w:r>
        <w:rPr>
          <w:noProof/>
        </w:rPr>
        <w:drawing>
          <wp:inline distT="0" distB="0" distL="0" distR="0" wp14:anchorId="0A73284B" wp14:editId="7EDD7067">
            <wp:extent cx="5486400" cy="3582670"/>
            <wp:effectExtent l="0" t="0" r="19050" b="1778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53462" w:rsidRDefault="00F53462" w:rsidP="006E2770">
      <w:pPr>
        <w:pStyle w:val="ad"/>
        <w:spacing w:after="0"/>
        <w:ind w:left="43"/>
        <w:jc w:val="both"/>
        <w:rPr>
          <w:rFonts w:cs="David"/>
          <w:b/>
          <w:bCs/>
          <w:color w:val="17365D"/>
          <w:sz w:val="28"/>
          <w:szCs w:val="28"/>
          <w:rtl/>
        </w:rPr>
      </w:pPr>
    </w:p>
    <w:p w:rsidR="005952EB" w:rsidRPr="00432A0E" w:rsidRDefault="005952EB" w:rsidP="00022C9A">
      <w:pPr>
        <w:pStyle w:val="ad"/>
        <w:ind w:left="43"/>
        <w:rPr>
          <w:rFonts w:cs="David"/>
          <w:b/>
          <w:bCs/>
          <w:i/>
          <w:iCs/>
          <w:color w:val="17365D"/>
          <w:sz w:val="24"/>
          <w:szCs w:val="24"/>
          <w:rtl/>
        </w:rPr>
      </w:pPr>
      <w:r>
        <w:rPr>
          <w:rFonts w:cs="David" w:hint="cs"/>
          <w:b/>
          <w:bCs/>
          <w:i/>
          <w:iCs/>
          <w:color w:val="17365D"/>
          <w:sz w:val="24"/>
          <w:szCs w:val="24"/>
          <w:rtl/>
        </w:rPr>
        <w:t xml:space="preserve">4.1. </w:t>
      </w:r>
      <w:r w:rsidRPr="00432A0E">
        <w:rPr>
          <w:rFonts w:cs="David" w:hint="cs"/>
          <w:b/>
          <w:bCs/>
          <w:i/>
          <w:iCs/>
          <w:color w:val="17365D"/>
          <w:sz w:val="24"/>
          <w:szCs w:val="24"/>
          <w:rtl/>
        </w:rPr>
        <w:t>כלל הגידולים</w:t>
      </w:r>
      <w:r>
        <w:rPr>
          <w:rFonts w:cs="David" w:hint="cs"/>
          <w:b/>
          <w:bCs/>
          <w:i/>
          <w:iCs/>
          <w:color w:val="17365D"/>
          <w:sz w:val="24"/>
          <w:szCs w:val="24"/>
          <w:rtl/>
        </w:rPr>
        <w:t xml:space="preserve"> </w:t>
      </w:r>
      <w:r w:rsidRPr="000F1A0F">
        <w:rPr>
          <w:rFonts w:cs="David" w:hint="cs"/>
          <w:b/>
          <w:bCs/>
          <w:i/>
          <w:iCs/>
          <w:color w:val="17365D"/>
          <w:sz w:val="24"/>
          <w:szCs w:val="24"/>
          <w:rtl/>
        </w:rPr>
        <w:t>השפירים</w:t>
      </w:r>
      <w:r w:rsidR="00022C9A" w:rsidRPr="000F1A0F">
        <w:rPr>
          <w:rFonts w:cs="David" w:hint="cs"/>
          <w:b/>
          <w:bCs/>
          <w:i/>
          <w:iCs/>
          <w:color w:val="17365D"/>
          <w:sz w:val="24"/>
          <w:szCs w:val="24"/>
          <w:rtl/>
        </w:rPr>
        <w:t>/בעלי</w:t>
      </w:r>
      <w:r w:rsidRPr="000F1A0F">
        <w:rPr>
          <w:rFonts w:cs="David" w:hint="cs"/>
          <w:b/>
          <w:bCs/>
          <w:i/>
          <w:iCs/>
          <w:color w:val="17365D"/>
          <w:sz w:val="24"/>
          <w:szCs w:val="24"/>
          <w:rtl/>
        </w:rPr>
        <w:t xml:space="preserve"> התנהגות לא ברורה</w:t>
      </w:r>
      <w:r w:rsidR="00022C9A">
        <w:rPr>
          <w:rFonts w:cs="David" w:hint="cs"/>
          <w:b/>
          <w:bCs/>
          <w:i/>
          <w:iCs/>
          <w:color w:val="17365D"/>
          <w:sz w:val="24"/>
          <w:szCs w:val="24"/>
          <w:rtl/>
        </w:rPr>
        <w:t xml:space="preserve"> </w:t>
      </w:r>
      <w:r w:rsidRPr="00432A0E">
        <w:rPr>
          <w:rFonts w:cs="David" w:hint="cs"/>
          <w:b/>
          <w:bCs/>
          <w:i/>
          <w:iCs/>
          <w:color w:val="17365D"/>
          <w:sz w:val="24"/>
          <w:szCs w:val="24"/>
          <w:rtl/>
        </w:rPr>
        <w:t xml:space="preserve"> במח ובמערכת העצבים המרכזית</w:t>
      </w:r>
    </w:p>
    <w:p w:rsidR="003F3773" w:rsidRDefault="005952EB" w:rsidP="009C2F2C">
      <w:pPr>
        <w:pStyle w:val="ad"/>
        <w:ind w:left="43"/>
        <w:jc w:val="both"/>
        <w:rPr>
          <w:rFonts w:cs="David"/>
          <w:color w:val="17365D"/>
          <w:sz w:val="20"/>
          <w:szCs w:val="20"/>
          <w:rtl/>
        </w:rPr>
      </w:pPr>
      <w:r>
        <w:rPr>
          <w:rFonts w:cs="David" w:hint="cs"/>
          <w:color w:val="17365D"/>
          <w:sz w:val="24"/>
          <w:szCs w:val="24"/>
          <w:rtl/>
        </w:rPr>
        <w:t xml:space="preserve">גם במקרה זה </w:t>
      </w:r>
      <w:r w:rsidRPr="00FD3850">
        <w:rPr>
          <w:rFonts w:cs="David" w:hint="cs"/>
          <w:color w:val="17365D"/>
          <w:sz w:val="24"/>
          <w:szCs w:val="24"/>
          <w:rtl/>
        </w:rPr>
        <w:t xml:space="preserve">מדובר בגידולים </w:t>
      </w:r>
      <w:r>
        <w:rPr>
          <w:rFonts w:cs="David" w:hint="cs"/>
          <w:color w:val="17365D"/>
          <w:sz w:val="24"/>
          <w:szCs w:val="24"/>
          <w:rtl/>
        </w:rPr>
        <w:t xml:space="preserve">נדירים יחסית באוכלוסייה הישראלית. בין 1990 ו-2014 אובחנו בסה"כ </w:t>
      </w:r>
      <w:r w:rsidR="00E41381">
        <w:rPr>
          <w:rFonts w:cs="David" w:hint="cs"/>
          <w:color w:val="17365D"/>
          <w:sz w:val="24"/>
          <w:szCs w:val="24"/>
          <w:rtl/>
        </w:rPr>
        <w:t xml:space="preserve">14,660 </w:t>
      </w:r>
      <w:r>
        <w:rPr>
          <w:rFonts w:cs="David" w:hint="cs"/>
          <w:color w:val="17365D"/>
          <w:sz w:val="24"/>
          <w:szCs w:val="24"/>
          <w:rtl/>
        </w:rPr>
        <w:t>מקרים חדשים (כ-58</w:t>
      </w:r>
      <w:r w:rsidR="00E41381">
        <w:rPr>
          <w:rFonts w:cs="David" w:hint="cs"/>
          <w:color w:val="17365D"/>
          <w:sz w:val="24"/>
          <w:szCs w:val="24"/>
          <w:rtl/>
        </w:rPr>
        <w:t>5</w:t>
      </w:r>
      <w:r>
        <w:rPr>
          <w:rFonts w:cs="David" w:hint="cs"/>
          <w:color w:val="17365D"/>
          <w:sz w:val="24"/>
          <w:szCs w:val="24"/>
          <w:rtl/>
        </w:rPr>
        <w:t xml:space="preserve"> מקרים לשנה), שני שליש מהם (67%) היו מנינגיומות (טבלה 3). </w:t>
      </w:r>
    </w:p>
    <w:p w:rsidR="005952EB" w:rsidRDefault="005952EB" w:rsidP="005952EB">
      <w:pPr>
        <w:pStyle w:val="ad"/>
        <w:ind w:left="43"/>
        <w:jc w:val="both"/>
        <w:rPr>
          <w:rFonts w:cs="David"/>
          <w:color w:val="17365D"/>
          <w:sz w:val="20"/>
          <w:szCs w:val="20"/>
          <w:rtl/>
        </w:rPr>
      </w:pPr>
    </w:p>
    <w:p w:rsidR="00E41381" w:rsidRDefault="00E41381">
      <w:pPr>
        <w:bidi w:val="0"/>
        <w:spacing w:after="0" w:line="240" w:lineRule="auto"/>
        <w:rPr>
          <w:rFonts w:cs="David"/>
          <w:color w:val="17365D"/>
          <w:sz w:val="20"/>
          <w:szCs w:val="20"/>
          <w:rtl/>
        </w:rPr>
      </w:pPr>
      <w:r>
        <w:rPr>
          <w:rFonts w:cs="David"/>
          <w:color w:val="17365D"/>
          <w:sz w:val="20"/>
          <w:szCs w:val="20"/>
          <w:rtl/>
        </w:rPr>
        <w:br w:type="page"/>
      </w:r>
    </w:p>
    <w:p w:rsidR="005952EB" w:rsidRDefault="005952EB" w:rsidP="003804A6">
      <w:pPr>
        <w:pStyle w:val="ad"/>
        <w:ind w:left="43"/>
        <w:jc w:val="both"/>
        <w:rPr>
          <w:rFonts w:cs="David"/>
          <w:color w:val="17365D"/>
          <w:sz w:val="20"/>
          <w:szCs w:val="20"/>
          <w:rtl/>
        </w:rPr>
      </w:pPr>
      <w:r w:rsidRPr="00142E1E">
        <w:rPr>
          <w:rFonts w:cs="David" w:hint="cs"/>
          <w:color w:val="17365D"/>
          <w:sz w:val="20"/>
          <w:szCs w:val="20"/>
          <w:rtl/>
        </w:rPr>
        <w:t xml:space="preserve">טבלה </w:t>
      </w:r>
      <w:r w:rsidR="003804A6">
        <w:rPr>
          <w:rFonts w:cs="David" w:hint="cs"/>
          <w:color w:val="17365D"/>
          <w:sz w:val="20"/>
          <w:szCs w:val="20"/>
          <w:rtl/>
        </w:rPr>
        <w:t>3</w:t>
      </w:r>
      <w:r w:rsidRPr="00142E1E">
        <w:rPr>
          <w:rFonts w:cs="David" w:hint="cs"/>
          <w:color w:val="17365D"/>
          <w:sz w:val="20"/>
          <w:szCs w:val="20"/>
          <w:rtl/>
        </w:rPr>
        <w:t xml:space="preserve">: </w:t>
      </w:r>
      <w:r w:rsidRPr="00142E1E">
        <w:rPr>
          <w:rFonts w:cs="David" w:hint="cs"/>
          <w:b/>
          <w:bCs/>
          <w:color w:val="17365D"/>
          <w:sz w:val="20"/>
          <w:szCs w:val="20"/>
          <w:rtl/>
        </w:rPr>
        <w:t>התפלגות הגידולים ה</w:t>
      </w:r>
      <w:r w:rsidR="003804A6">
        <w:rPr>
          <w:rFonts w:cs="David" w:hint="cs"/>
          <w:b/>
          <w:bCs/>
          <w:color w:val="17365D"/>
          <w:sz w:val="20"/>
          <w:szCs w:val="20"/>
          <w:rtl/>
        </w:rPr>
        <w:t>שפירים</w:t>
      </w:r>
      <w:r w:rsidR="00AF4AF2">
        <w:rPr>
          <w:rFonts w:cs="David" w:hint="cs"/>
          <w:b/>
          <w:bCs/>
          <w:color w:val="17365D"/>
          <w:sz w:val="20"/>
          <w:szCs w:val="20"/>
          <w:rtl/>
        </w:rPr>
        <w:t>/התנהגות לא ברורה</w:t>
      </w:r>
      <w:r w:rsidR="003804A6">
        <w:rPr>
          <w:rFonts w:cs="David" w:hint="cs"/>
          <w:b/>
          <w:bCs/>
          <w:color w:val="17365D"/>
          <w:sz w:val="20"/>
          <w:szCs w:val="20"/>
          <w:rtl/>
        </w:rPr>
        <w:t xml:space="preserve"> </w:t>
      </w:r>
      <w:r w:rsidRPr="00142E1E">
        <w:rPr>
          <w:rFonts w:cs="David" w:hint="cs"/>
          <w:b/>
          <w:bCs/>
          <w:color w:val="17365D"/>
          <w:sz w:val="20"/>
          <w:szCs w:val="20"/>
          <w:rtl/>
        </w:rPr>
        <w:t>במח ובמערכת העצבים המרכזית בישראל,</w:t>
      </w:r>
      <w:r w:rsidR="003804A6">
        <w:rPr>
          <w:rFonts w:cs="David" w:hint="cs"/>
          <w:b/>
          <w:bCs/>
          <w:color w:val="17365D"/>
          <w:sz w:val="20"/>
          <w:szCs w:val="20"/>
          <w:rtl/>
        </w:rPr>
        <w:t xml:space="preserve"> </w:t>
      </w:r>
      <w:r w:rsidRPr="00142E1E">
        <w:rPr>
          <w:rFonts w:cs="David" w:hint="cs"/>
          <w:color w:val="17365D"/>
          <w:sz w:val="20"/>
          <w:szCs w:val="20"/>
          <w:rtl/>
        </w:rPr>
        <w:t xml:space="preserve"> </w:t>
      </w:r>
      <w:r w:rsidRPr="00142E1E">
        <w:rPr>
          <w:rFonts w:cs="David" w:hint="cs"/>
          <w:b/>
          <w:bCs/>
          <w:color w:val="17365D"/>
          <w:sz w:val="20"/>
          <w:szCs w:val="20"/>
          <w:rtl/>
        </w:rPr>
        <w:t>1990-2014</w:t>
      </w:r>
    </w:p>
    <w:tbl>
      <w:tblPr>
        <w:tblStyle w:val="-1"/>
        <w:bidiVisual/>
        <w:tblW w:w="0" w:type="auto"/>
        <w:tblLook w:val="04A0" w:firstRow="1" w:lastRow="0" w:firstColumn="1" w:lastColumn="0" w:noHBand="0" w:noVBand="1"/>
      </w:tblPr>
      <w:tblGrid>
        <w:gridCol w:w="2840"/>
        <w:gridCol w:w="2841"/>
        <w:gridCol w:w="2841"/>
      </w:tblGrid>
      <w:tr w:rsidR="005952EB" w:rsidTr="005952EB">
        <w:trPr>
          <w:cnfStyle w:val="100000000000" w:firstRow="1" w:lastRow="0" w:firstColumn="0" w:lastColumn="0" w:oddVBand="0" w:evenVBand="0" w:oddHBand="0" w:evenHBand="0" w:firstRowFirstColumn="0" w:firstRowLastColumn="0" w:lastRowFirstColumn="0" w:lastRowLastColumn="0"/>
          <w:cantSplit/>
          <w:trHeight w:val="377"/>
          <w:tblHeader/>
        </w:trPr>
        <w:tc>
          <w:tcPr>
            <w:cnfStyle w:val="001000000000" w:firstRow="0" w:lastRow="0" w:firstColumn="1" w:lastColumn="0" w:oddVBand="0" w:evenVBand="0" w:oddHBand="0" w:evenHBand="0" w:firstRowFirstColumn="0" w:firstRowLastColumn="0" w:lastRowFirstColumn="0" w:lastRowLastColumn="0"/>
            <w:tcW w:w="2840" w:type="dxa"/>
          </w:tcPr>
          <w:p w:rsidR="005952EB" w:rsidRPr="00142E1E" w:rsidRDefault="005952EB" w:rsidP="002E5922">
            <w:pPr>
              <w:pStyle w:val="ad"/>
              <w:ind w:left="43"/>
              <w:jc w:val="center"/>
              <w:rPr>
                <w:rFonts w:cs="David"/>
                <w:color w:val="FFFFFF" w:themeColor="background1"/>
                <w:sz w:val="24"/>
                <w:szCs w:val="24"/>
                <w:rtl/>
              </w:rPr>
            </w:pPr>
            <w:r w:rsidRPr="00142E1E">
              <w:rPr>
                <w:rFonts w:cs="David" w:hint="cs"/>
                <w:color w:val="FFFFFF" w:themeColor="background1"/>
                <w:sz w:val="24"/>
                <w:szCs w:val="24"/>
                <w:rtl/>
              </w:rPr>
              <w:t>קטגוריה</w:t>
            </w:r>
          </w:p>
        </w:tc>
        <w:tc>
          <w:tcPr>
            <w:tcW w:w="2841" w:type="dxa"/>
          </w:tcPr>
          <w:p w:rsidR="005952EB" w:rsidRPr="00142E1E" w:rsidRDefault="005952EB" w:rsidP="002E5922">
            <w:pPr>
              <w:pStyle w:val="ad"/>
              <w:ind w:left="43"/>
              <w:jc w:val="center"/>
              <w:cnfStyle w:val="100000000000" w:firstRow="1" w:lastRow="0" w:firstColumn="0" w:lastColumn="0" w:oddVBand="0" w:evenVBand="0" w:oddHBand="0" w:evenHBand="0" w:firstRowFirstColumn="0" w:firstRowLastColumn="0" w:lastRowFirstColumn="0" w:lastRowLastColumn="0"/>
              <w:rPr>
                <w:rFonts w:cs="David"/>
                <w:color w:val="FFFFFF" w:themeColor="background1"/>
                <w:sz w:val="24"/>
                <w:szCs w:val="24"/>
                <w:rtl/>
              </w:rPr>
            </w:pPr>
            <w:r w:rsidRPr="00142E1E">
              <w:rPr>
                <w:rFonts w:cs="David" w:hint="cs"/>
                <w:color w:val="FFFFFF" w:themeColor="background1"/>
                <w:sz w:val="24"/>
                <w:szCs w:val="24"/>
                <w:rtl/>
              </w:rPr>
              <w:t>סה"כ</w:t>
            </w:r>
            <w:r>
              <w:rPr>
                <w:rFonts w:cs="David" w:hint="cs"/>
                <w:color w:val="FFFFFF" w:themeColor="background1"/>
                <w:sz w:val="24"/>
                <w:szCs w:val="24"/>
                <w:rtl/>
              </w:rPr>
              <w:t xml:space="preserve"> (</w:t>
            </w:r>
            <w:r>
              <w:rPr>
                <w:rFonts w:cs="David"/>
                <w:color w:val="FFFFFF" w:themeColor="background1"/>
                <w:sz w:val="24"/>
                <w:szCs w:val="24"/>
              </w:rPr>
              <w:t>N</w:t>
            </w:r>
            <w:r>
              <w:rPr>
                <w:rFonts w:cs="David" w:hint="cs"/>
                <w:color w:val="FFFFFF" w:themeColor="background1"/>
                <w:sz w:val="24"/>
                <w:szCs w:val="24"/>
                <w:rtl/>
              </w:rPr>
              <w:t>)</w:t>
            </w:r>
          </w:p>
        </w:tc>
        <w:tc>
          <w:tcPr>
            <w:tcW w:w="2841" w:type="dxa"/>
          </w:tcPr>
          <w:p w:rsidR="005952EB" w:rsidRPr="00142E1E" w:rsidRDefault="005952EB" w:rsidP="002E5922">
            <w:pPr>
              <w:pStyle w:val="ad"/>
              <w:ind w:left="43"/>
              <w:jc w:val="center"/>
              <w:cnfStyle w:val="100000000000" w:firstRow="1" w:lastRow="0" w:firstColumn="0" w:lastColumn="0" w:oddVBand="0" w:evenVBand="0" w:oddHBand="0" w:evenHBand="0" w:firstRowFirstColumn="0" w:firstRowLastColumn="0" w:lastRowFirstColumn="0" w:lastRowLastColumn="0"/>
              <w:rPr>
                <w:rFonts w:cs="David"/>
                <w:color w:val="FFFFFF" w:themeColor="background1"/>
                <w:sz w:val="24"/>
                <w:szCs w:val="24"/>
                <w:rtl/>
              </w:rPr>
            </w:pPr>
            <w:r w:rsidRPr="00142E1E">
              <w:rPr>
                <w:rFonts w:cs="David" w:hint="cs"/>
                <w:color w:val="FFFFFF" w:themeColor="background1"/>
                <w:sz w:val="24"/>
                <w:szCs w:val="24"/>
                <w:rtl/>
              </w:rPr>
              <w:t>% מכלל הגידולים</w:t>
            </w:r>
          </w:p>
        </w:tc>
      </w:tr>
      <w:tr w:rsidR="00C0109A" w:rsidRPr="00E41381" w:rsidTr="00E41381">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840" w:type="dxa"/>
          </w:tcPr>
          <w:p w:rsidR="00C0109A" w:rsidRPr="00E41381" w:rsidRDefault="00C0109A" w:rsidP="00E41381">
            <w:pPr>
              <w:pStyle w:val="ad"/>
              <w:ind w:left="43"/>
              <w:jc w:val="center"/>
              <w:rPr>
                <w:rFonts w:cs="David"/>
                <w:b w:val="0"/>
                <w:bCs w:val="0"/>
                <w:sz w:val="24"/>
                <w:szCs w:val="24"/>
              </w:rPr>
            </w:pPr>
            <w:r w:rsidRPr="00E41381">
              <w:rPr>
                <w:rFonts w:cs="David" w:hint="cs"/>
                <w:b w:val="0"/>
                <w:bCs w:val="0"/>
                <w:sz w:val="24"/>
                <w:szCs w:val="24"/>
                <w:rtl/>
              </w:rPr>
              <w:t>מנינגיומה</w:t>
            </w:r>
          </w:p>
        </w:tc>
        <w:tc>
          <w:tcPr>
            <w:tcW w:w="2841" w:type="dxa"/>
          </w:tcPr>
          <w:p w:rsidR="00C0109A" w:rsidRPr="00E41381" w:rsidRDefault="00E41381" w:rsidP="00E41381">
            <w:pPr>
              <w:pStyle w:val="ad"/>
              <w:ind w:left="43"/>
              <w:jc w:val="center"/>
              <w:cnfStyle w:val="000000100000" w:firstRow="0" w:lastRow="0" w:firstColumn="0" w:lastColumn="0" w:oddVBand="0" w:evenVBand="0" w:oddHBand="1" w:evenHBand="0" w:firstRowFirstColumn="0" w:firstRowLastColumn="0" w:lastRowFirstColumn="0" w:lastRowLastColumn="0"/>
              <w:rPr>
                <w:rFonts w:cs="David"/>
                <w:sz w:val="24"/>
                <w:szCs w:val="24"/>
                <w:rtl/>
              </w:rPr>
            </w:pPr>
            <w:r>
              <w:rPr>
                <w:rFonts w:cs="David" w:hint="cs"/>
                <w:sz w:val="24"/>
                <w:szCs w:val="24"/>
                <w:rtl/>
              </w:rPr>
              <w:t>9,834</w:t>
            </w:r>
          </w:p>
        </w:tc>
        <w:tc>
          <w:tcPr>
            <w:tcW w:w="2841" w:type="dxa"/>
          </w:tcPr>
          <w:p w:rsidR="00C0109A" w:rsidRPr="00E41381" w:rsidRDefault="00E41381" w:rsidP="00E41381">
            <w:pPr>
              <w:pStyle w:val="ad"/>
              <w:ind w:left="43"/>
              <w:jc w:val="center"/>
              <w:cnfStyle w:val="000000100000" w:firstRow="0" w:lastRow="0" w:firstColumn="0" w:lastColumn="0" w:oddVBand="0" w:evenVBand="0" w:oddHBand="1" w:evenHBand="0" w:firstRowFirstColumn="0" w:firstRowLastColumn="0" w:lastRowFirstColumn="0" w:lastRowLastColumn="0"/>
              <w:rPr>
                <w:rFonts w:cs="David"/>
                <w:sz w:val="24"/>
                <w:szCs w:val="24"/>
                <w:rtl/>
              </w:rPr>
            </w:pPr>
            <w:r>
              <w:rPr>
                <w:rFonts w:cs="David" w:hint="cs"/>
                <w:sz w:val="24"/>
                <w:szCs w:val="24"/>
                <w:rtl/>
              </w:rPr>
              <w:t>67.1</w:t>
            </w:r>
          </w:p>
        </w:tc>
      </w:tr>
      <w:tr w:rsidR="00C0109A" w:rsidRPr="00E41381" w:rsidTr="00E41381">
        <w:trPr>
          <w:trHeight w:val="377"/>
        </w:trPr>
        <w:tc>
          <w:tcPr>
            <w:cnfStyle w:val="001000000000" w:firstRow="0" w:lastRow="0" w:firstColumn="1" w:lastColumn="0" w:oddVBand="0" w:evenVBand="0" w:oddHBand="0" w:evenHBand="0" w:firstRowFirstColumn="0" w:firstRowLastColumn="0" w:lastRowFirstColumn="0" w:lastRowLastColumn="0"/>
            <w:tcW w:w="2840" w:type="dxa"/>
          </w:tcPr>
          <w:p w:rsidR="00C0109A" w:rsidRPr="00E41381" w:rsidRDefault="00C0109A" w:rsidP="00E41381">
            <w:pPr>
              <w:pStyle w:val="ad"/>
              <w:ind w:left="43"/>
              <w:jc w:val="center"/>
              <w:rPr>
                <w:rFonts w:cs="David"/>
                <w:b w:val="0"/>
                <w:bCs w:val="0"/>
                <w:sz w:val="24"/>
                <w:szCs w:val="24"/>
                <w:rtl/>
              </w:rPr>
            </w:pPr>
            <w:r w:rsidRPr="00E41381">
              <w:rPr>
                <w:rFonts w:cs="David" w:hint="cs"/>
                <w:b w:val="0"/>
                <w:bCs w:val="0"/>
                <w:sz w:val="24"/>
                <w:szCs w:val="24"/>
                <w:rtl/>
              </w:rPr>
              <w:t>גידולים אחרים</w:t>
            </w:r>
          </w:p>
        </w:tc>
        <w:tc>
          <w:tcPr>
            <w:tcW w:w="2841" w:type="dxa"/>
          </w:tcPr>
          <w:p w:rsidR="00C0109A" w:rsidRPr="00E41381" w:rsidRDefault="00E41381" w:rsidP="00E41381">
            <w:pPr>
              <w:pStyle w:val="ad"/>
              <w:ind w:left="43"/>
              <w:jc w:val="center"/>
              <w:cnfStyle w:val="000000000000" w:firstRow="0" w:lastRow="0" w:firstColumn="0" w:lastColumn="0" w:oddVBand="0" w:evenVBand="0" w:oddHBand="0" w:evenHBand="0" w:firstRowFirstColumn="0" w:firstRowLastColumn="0" w:lastRowFirstColumn="0" w:lastRowLastColumn="0"/>
              <w:rPr>
                <w:rFonts w:cs="David"/>
                <w:sz w:val="24"/>
                <w:szCs w:val="24"/>
                <w:rtl/>
              </w:rPr>
            </w:pPr>
            <w:r>
              <w:rPr>
                <w:rFonts w:cs="David" w:hint="cs"/>
                <w:sz w:val="24"/>
                <w:szCs w:val="24"/>
                <w:rtl/>
              </w:rPr>
              <w:t>2,487</w:t>
            </w:r>
          </w:p>
        </w:tc>
        <w:tc>
          <w:tcPr>
            <w:tcW w:w="2841" w:type="dxa"/>
          </w:tcPr>
          <w:p w:rsidR="00C0109A" w:rsidRPr="00E41381" w:rsidRDefault="00E41381" w:rsidP="00E41381">
            <w:pPr>
              <w:pStyle w:val="ad"/>
              <w:ind w:left="43"/>
              <w:jc w:val="center"/>
              <w:cnfStyle w:val="000000000000" w:firstRow="0" w:lastRow="0" w:firstColumn="0" w:lastColumn="0" w:oddVBand="0" w:evenVBand="0" w:oddHBand="0" w:evenHBand="0" w:firstRowFirstColumn="0" w:firstRowLastColumn="0" w:lastRowFirstColumn="0" w:lastRowLastColumn="0"/>
              <w:rPr>
                <w:rFonts w:cs="David"/>
                <w:sz w:val="24"/>
                <w:szCs w:val="24"/>
                <w:rtl/>
              </w:rPr>
            </w:pPr>
            <w:r>
              <w:rPr>
                <w:rFonts w:cs="David" w:hint="cs"/>
                <w:sz w:val="24"/>
                <w:szCs w:val="24"/>
                <w:rtl/>
              </w:rPr>
              <w:t>17.0</w:t>
            </w:r>
          </w:p>
        </w:tc>
      </w:tr>
      <w:tr w:rsidR="00C0109A" w:rsidRPr="00E41381" w:rsidTr="00E41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C0109A" w:rsidRPr="00E41381" w:rsidRDefault="00C0109A" w:rsidP="00E41381">
            <w:pPr>
              <w:pStyle w:val="ad"/>
              <w:ind w:left="43"/>
              <w:jc w:val="center"/>
              <w:rPr>
                <w:rFonts w:cs="David"/>
                <w:b w:val="0"/>
                <w:bCs w:val="0"/>
                <w:sz w:val="24"/>
                <w:szCs w:val="24"/>
                <w:rtl/>
              </w:rPr>
            </w:pPr>
            <w:r w:rsidRPr="00E41381">
              <w:rPr>
                <w:rFonts w:cs="David" w:hint="cs"/>
                <w:b w:val="0"/>
                <w:bCs w:val="0"/>
                <w:sz w:val="24"/>
                <w:szCs w:val="24"/>
                <w:rtl/>
              </w:rPr>
              <w:t>אסטרוציטומה</w:t>
            </w:r>
          </w:p>
        </w:tc>
        <w:tc>
          <w:tcPr>
            <w:tcW w:w="2841" w:type="dxa"/>
          </w:tcPr>
          <w:p w:rsidR="00C0109A" w:rsidRPr="00E41381" w:rsidRDefault="00E41381" w:rsidP="00E41381">
            <w:pPr>
              <w:pStyle w:val="ad"/>
              <w:ind w:left="43"/>
              <w:jc w:val="center"/>
              <w:cnfStyle w:val="000000100000" w:firstRow="0" w:lastRow="0" w:firstColumn="0" w:lastColumn="0" w:oddVBand="0" w:evenVBand="0" w:oddHBand="1" w:evenHBand="0" w:firstRowFirstColumn="0" w:firstRowLastColumn="0" w:lastRowFirstColumn="0" w:lastRowLastColumn="0"/>
              <w:rPr>
                <w:rFonts w:cs="David"/>
                <w:sz w:val="24"/>
                <w:szCs w:val="24"/>
                <w:rtl/>
              </w:rPr>
            </w:pPr>
            <w:r>
              <w:rPr>
                <w:rFonts w:cs="David" w:hint="cs"/>
                <w:sz w:val="24"/>
                <w:szCs w:val="24"/>
                <w:rtl/>
              </w:rPr>
              <w:t>26</w:t>
            </w:r>
          </w:p>
        </w:tc>
        <w:tc>
          <w:tcPr>
            <w:tcW w:w="2841" w:type="dxa"/>
          </w:tcPr>
          <w:p w:rsidR="00C0109A" w:rsidRPr="00E41381" w:rsidRDefault="00E41381" w:rsidP="00E41381">
            <w:pPr>
              <w:pStyle w:val="ad"/>
              <w:ind w:left="43"/>
              <w:jc w:val="center"/>
              <w:cnfStyle w:val="000000100000" w:firstRow="0" w:lastRow="0" w:firstColumn="0" w:lastColumn="0" w:oddVBand="0" w:evenVBand="0" w:oddHBand="1" w:evenHBand="0" w:firstRowFirstColumn="0" w:firstRowLastColumn="0" w:lastRowFirstColumn="0" w:lastRowLastColumn="0"/>
              <w:rPr>
                <w:rFonts w:cs="David"/>
                <w:sz w:val="24"/>
                <w:szCs w:val="24"/>
                <w:rtl/>
              </w:rPr>
            </w:pPr>
            <w:r>
              <w:rPr>
                <w:rFonts w:cs="David" w:hint="cs"/>
                <w:sz w:val="24"/>
                <w:szCs w:val="24"/>
                <w:rtl/>
              </w:rPr>
              <w:t>0.2</w:t>
            </w:r>
          </w:p>
        </w:tc>
      </w:tr>
      <w:tr w:rsidR="00C0109A" w:rsidRPr="00E41381" w:rsidTr="00E41381">
        <w:tc>
          <w:tcPr>
            <w:cnfStyle w:val="001000000000" w:firstRow="0" w:lastRow="0" w:firstColumn="1" w:lastColumn="0" w:oddVBand="0" w:evenVBand="0" w:oddHBand="0" w:evenHBand="0" w:firstRowFirstColumn="0" w:firstRowLastColumn="0" w:lastRowFirstColumn="0" w:lastRowLastColumn="0"/>
            <w:tcW w:w="2840" w:type="dxa"/>
          </w:tcPr>
          <w:p w:rsidR="00C0109A" w:rsidRPr="00E41381" w:rsidRDefault="00C0109A" w:rsidP="00E41381">
            <w:pPr>
              <w:pStyle w:val="ad"/>
              <w:ind w:left="43"/>
              <w:jc w:val="center"/>
              <w:rPr>
                <w:rFonts w:cs="David"/>
                <w:b w:val="0"/>
                <w:bCs w:val="0"/>
                <w:sz w:val="24"/>
                <w:szCs w:val="24"/>
                <w:rtl/>
              </w:rPr>
            </w:pPr>
            <w:r w:rsidRPr="00E41381">
              <w:rPr>
                <w:rFonts w:cs="David" w:hint="cs"/>
                <w:b w:val="0"/>
                <w:bCs w:val="0"/>
                <w:sz w:val="24"/>
                <w:szCs w:val="24"/>
                <w:rtl/>
              </w:rPr>
              <w:t>נוירומה אקוסטית</w:t>
            </w:r>
          </w:p>
        </w:tc>
        <w:tc>
          <w:tcPr>
            <w:tcW w:w="2841" w:type="dxa"/>
          </w:tcPr>
          <w:p w:rsidR="00C0109A" w:rsidRPr="00E41381" w:rsidRDefault="00E41381" w:rsidP="00E41381">
            <w:pPr>
              <w:pStyle w:val="ad"/>
              <w:ind w:left="43"/>
              <w:jc w:val="center"/>
              <w:cnfStyle w:val="000000000000" w:firstRow="0" w:lastRow="0" w:firstColumn="0" w:lastColumn="0" w:oddVBand="0" w:evenVBand="0" w:oddHBand="0" w:evenHBand="0" w:firstRowFirstColumn="0" w:firstRowLastColumn="0" w:lastRowFirstColumn="0" w:lastRowLastColumn="0"/>
              <w:rPr>
                <w:rFonts w:cs="David"/>
                <w:sz w:val="24"/>
                <w:szCs w:val="24"/>
                <w:rtl/>
              </w:rPr>
            </w:pPr>
            <w:r>
              <w:rPr>
                <w:rFonts w:cs="David" w:hint="cs"/>
                <w:sz w:val="24"/>
                <w:szCs w:val="24"/>
                <w:rtl/>
              </w:rPr>
              <w:t>873</w:t>
            </w:r>
          </w:p>
        </w:tc>
        <w:tc>
          <w:tcPr>
            <w:tcW w:w="2841" w:type="dxa"/>
          </w:tcPr>
          <w:p w:rsidR="00C0109A" w:rsidRPr="00E41381" w:rsidRDefault="00E41381" w:rsidP="00E41381">
            <w:pPr>
              <w:pStyle w:val="ad"/>
              <w:ind w:left="43"/>
              <w:jc w:val="center"/>
              <w:cnfStyle w:val="000000000000" w:firstRow="0" w:lastRow="0" w:firstColumn="0" w:lastColumn="0" w:oddVBand="0" w:evenVBand="0" w:oddHBand="0" w:evenHBand="0" w:firstRowFirstColumn="0" w:firstRowLastColumn="0" w:lastRowFirstColumn="0" w:lastRowLastColumn="0"/>
              <w:rPr>
                <w:rFonts w:cs="David"/>
                <w:sz w:val="24"/>
                <w:szCs w:val="24"/>
                <w:rtl/>
              </w:rPr>
            </w:pPr>
            <w:r>
              <w:rPr>
                <w:rFonts w:cs="David" w:hint="cs"/>
                <w:sz w:val="24"/>
                <w:szCs w:val="24"/>
                <w:rtl/>
              </w:rPr>
              <w:t>6.0</w:t>
            </w:r>
          </w:p>
        </w:tc>
      </w:tr>
      <w:tr w:rsidR="00C0109A" w:rsidRPr="00E41381" w:rsidTr="00E41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C0109A" w:rsidRPr="00E41381" w:rsidRDefault="00C0109A" w:rsidP="00E41381">
            <w:pPr>
              <w:pStyle w:val="ad"/>
              <w:ind w:left="43"/>
              <w:jc w:val="center"/>
              <w:rPr>
                <w:rFonts w:cs="David"/>
                <w:b w:val="0"/>
                <w:bCs w:val="0"/>
                <w:sz w:val="24"/>
                <w:szCs w:val="24"/>
                <w:rtl/>
              </w:rPr>
            </w:pPr>
            <w:r w:rsidRPr="00E41381">
              <w:rPr>
                <w:rFonts w:cs="David" w:hint="cs"/>
                <w:b w:val="0"/>
                <w:bCs w:val="0"/>
                <w:sz w:val="24"/>
                <w:szCs w:val="24"/>
                <w:rtl/>
              </w:rPr>
              <w:t>גידול כלי דם</w:t>
            </w:r>
          </w:p>
        </w:tc>
        <w:tc>
          <w:tcPr>
            <w:tcW w:w="2841" w:type="dxa"/>
          </w:tcPr>
          <w:p w:rsidR="00C0109A" w:rsidRPr="00E41381" w:rsidRDefault="00E41381" w:rsidP="00E41381">
            <w:pPr>
              <w:pStyle w:val="ad"/>
              <w:ind w:left="43"/>
              <w:jc w:val="center"/>
              <w:cnfStyle w:val="000000100000" w:firstRow="0" w:lastRow="0" w:firstColumn="0" w:lastColumn="0" w:oddVBand="0" w:evenVBand="0" w:oddHBand="1" w:evenHBand="0" w:firstRowFirstColumn="0" w:firstRowLastColumn="0" w:lastRowFirstColumn="0" w:lastRowLastColumn="0"/>
              <w:rPr>
                <w:rFonts w:cs="David"/>
                <w:sz w:val="24"/>
                <w:szCs w:val="24"/>
                <w:rtl/>
              </w:rPr>
            </w:pPr>
            <w:r>
              <w:rPr>
                <w:rFonts w:cs="David" w:hint="cs"/>
                <w:sz w:val="24"/>
                <w:szCs w:val="24"/>
                <w:rtl/>
              </w:rPr>
              <w:t>276</w:t>
            </w:r>
          </w:p>
        </w:tc>
        <w:tc>
          <w:tcPr>
            <w:tcW w:w="2841" w:type="dxa"/>
          </w:tcPr>
          <w:p w:rsidR="00C0109A" w:rsidRPr="00E41381" w:rsidRDefault="00E41381" w:rsidP="00E41381">
            <w:pPr>
              <w:pStyle w:val="ad"/>
              <w:ind w:left="43"/>
              <w:jc w:val="center"/>
              <w:cnfStyle w:val="000000100000" w:firstRow="0" w:lastRow="0" w:firstColumn="0" w:lastColumn="0" w:oddVBand="0" w:evenVBand="0" w:oddHBand="1" w:evenHBand="0" w:firstRowFirstColumn="0" w:firstRowLastColumn="0" w:lastRowFirstColumn="0" w:lastRowLastColumn="0"/>
              <w:rPr>
                <w:rFonts w:cs="David"/>
                <w:sz w:val="24"/>
                <w:szCs w:val="24"/>
                <w:rtl/>
              </w:rPr>
            </w:pPr>
            <w:r>
              <w:rPr>
                <w:rFonts w:cs="David" w:hint="cs"/>
                <w:sz w:val="24"/>
                <w:szCs w:val="24"/>
                <w:rtl/>
              </w:rPr>
              <w:t>1.9</w:t>
            </w:r>
          </w:p>
        </w:tc>
      </w:tr>
      <w:tr w:rsidR="003F3773" w:rsidRPr="00E41381" w:rsidTr="00E41381">
        <w:tc>
          <w:tcPr>
            <w:cnfStyle w:val="001000000000" w:firstRow="0" w:lastRow="0" w:firstColumn="1" w:lastColumn="0" w:oddVBand="0" w:evenVBand="0" w:oddHBand="0" w:evenHBand="0" w:firstRowFirstColumn="0" w:firstRowLastColumn="0" w:lastRowFirstColumn="0" w:lastRowLastColumn="0"/>
            <w:tcW w:w="2840" w:type="dxa"/>
          </w:tcPr>
          <w:p w:rsidR="003F3773" w:rsidRPr="00E41381" w:rsidRDefault="003F3773" w:rsidP="00E41381">
            <w:pPr>
              <w:pStyle w:val="ad"/>
              <w:ind w:left="43"/>
              <w:jc w:val="center"/>
              <w:rPr>
                <w:rFonts w:cs="David"/>
                <w:b w:val="0"/>
                <w:bCs w:val="0"/>
                <w:sz w:val="24"/>
                <w:szCs w:val="24"/>
                <w:rtl/>
              </w:rPr>
            </w:pPr>
            <w:r w:rsidRPr="00E41381">
              <w:rPr>
                <w:rFonts w:cs="David" w:hint="cs"/>
                <w:b w:val="0"/>
                <w:bCs w:val="0"/>
                <w:sz w:val="24"/>
                <w:szCs w:val="24"/>
                <w:rtl/>
              </w:rPr>
              <w:t>גליובלטומה/גליומות אחרות</w:t>
            </w:r>
          </w:p>
        </w:tc>
        <w:tc>
          <w:tcPr>
            <w:tcW w:w="2841" w:type="dxa"/>
          </w:tcPr>
          <w:p w:rsidR="003F3773" w:rsidRPr="00E41381" w:rsidRDefault="00E41381" w:rsidP="00E41381">
            <w:pPr>
              <w:pStyle w:val="ad"/>
              <w:ind w:left="43"/>
              <w:jc w:val="center"/>
              <w:cnfStyle w:val="000000000000" w:firstRow="0" w:lastRow="0" w:firstColumn="0" w:lastColumn="0" w:oddVBand="0" w:evenVBand="0" w:oddHBand="0" w:evenHBand="0" w:firstRowFirstColumn="0" w:firstRowLastColumn="0" w:lastRowFirstColumn="0" w:lastRowLastColumn="0"/>
              <w:rPr>
                <w:rFonts w:cs="David"/>
                <w:sz w:val="24"/>
                <w:szCs w:val="24"/>
              </w:rPr>
            </w:pPr>
            <w:r>
              <w:rPr>
                <w:rFonts w:cs="David" w:hint="cs"/>
                <w:sz w:val="24"/>
                <w:szCs w:val="24"/>
                <w:rtl/>
              </w:rPr>
              <w:t>134</w:t>
            </w:r>
          </w:p>
        </w:tc>
        <w:tc>
          <w:tcPr>
            <w:tcW w:w="2841" w:type="dxa"/>
          </w:tcPr>
          <w:p w:rsidR="003F3773" w:rsidRPr="00E41381" w:rsidRDefault="00E41381" w:rsidP="00E41381">
            <w:pPr>
              <w:pStyle w:val="ad"/>
              <w:ind w:left="43"/>
              <w:jc w:val="center"/>
              <w:cnfStyle w:val="000000000000" w:firstRow="0" w:lastRow="0" w:firstColumn="0" w:lastColumn="0" w:oddVBand="0" w:evenVBand="0" w:oddHBand="0" w:evenHBand="0" w:firstRowFirstColumn="0" w:firstRowLastColumn="0" w:lastRowFirstColumn="0" w:lastRowLastColumn="0"/>
              <w:rPr>
                <w:rFonts w:cs="David"/>
                <w:sz w:val="24"/>
                <w:szCs w:val="24"/>
                <w:rtl/>
              </w:rPr>
            </w:pPr>
            <w:r>
              <w:rPr>
                <w:rFonts w:cs="David" w:hint="cs"/>
                <w:sz w:val="24"/>
                <w:szCs w:val="24"/>
                <w:rtl/>
              </w:rPr>
              <w:t>0.8</w:t>
            </w:r>
          </w:p>
        </w:tc>
      </w:tr>
      <w:tr w:rsidR="00C0109A" w:rsidRPr="00E41381" w:rsidTr="00E41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C0109A" w:rsidRPr="00E41381" w:rsidRDefault="00C0109A" w:rsidP="00E41381">
            <w:pPr>
              <w:pStyle w:val="ad"/>
              <w:ind w:left="43"/>
              <w:jc w:val="center"/>
              <w:rPr>
                <w:rFonts w:cs="David"/>
                <w:b w:val="0"/>
                <w:bCs w:val="0"/>
                <w:sz w:val="24"/>
                <w:szCs w:val="24"/>
                <w:rtl/>
              </w:rPr>
            </w:pPr>
            <w:r w:rsidRPr="00E41381">
              <w:rPr>
                <w:rFonts w:cs="David" w:hint="cs"/>
                <w:b w:val="0"/>
                <w:bCs w:val="0"/>
                <w:sz w:val="24"/>
                <w:szCs w:val="24"/>
                <w:rtl/>
              </w:rPr>
              <w:t>אדנומה של יותרת המוח</w:t>
            </w:r>
          </w:p>
        </w:tc>
        <w:tc>
          <w:tcPr>
            <w:tcW w:w="2841" w:type="dxa"/>
          </w:tcPr>
          <w:p w:rsidR="00C0109A" w:rsidRPr="00E41381" w:rsidRDefault="00E41381" w:rsidP="00E41381">
            <w:pPr>
              <w:pStyle w:val="ad"/>
              <w:ind w:left="43"/>
              <w:jc w:val="center"/>
              <w:cnfStyle w:val="000000100000" w:firstRow="0" w:lastRow="0" w:firstColumn="0" w:lastColumn="0" w:oddVBand="0" w:evenVBand="0" w:oddHBand="1" w:evenHBand="0" w:firstRowFirstColumn="0" w:firstRowLastColumn="0" w:lastRowFirstColumn="0" w:lastRowLastColumn="0"/>
              <w:rPr>
                <w:rFonts w:cs="David"/>
                <w:sz w:val="24"/>
                <w:szCs w:val="24"/>
                <w:rtl/>
              </w:rPr>
            </w:pPr>
            <w:r>
              <w:rPr>
                <w:rFonts w:cs="David" w:hint="cs"/>
                <w:sz w:val="24"/>
                <w:szCs w:val="24"/>
                <w:rtl/>
              </w:rPr>
              <w:t>1,030</w:t>
            </w:r>
          </w:p>
        </w:tc>
        <w:tc>
          <w:tcPr>
            <w:tcW w:w="2841" w:type="dxa"/>
          </w:tcPr>
          <w:p w:rsidR="00C0109A" w:rsidRPr="00E41381" w:rsidRDefault="00E41381" w:rsidP="00E41381">
            <w:pPr>
              <w:pStyle w:val="ad"/>
              <w:ind w:left="43"/>
              <w:jc w:val="center"/>
              <w:cnfStyle w:val="000000100000" w:firstRow="0" w:lastRow="0" w:firstColumn="0" w:lastColumn="0" w:oddVBand="0" w:evenVBand="0" w:oddHBand="1" w:evenHBand="0" w:firstRowFirstColumn="0" w:firstRowLastColumn="0" w:lastRowFirstColumn="0" w:lastRowLastColumn="0"/>
              <w:rPr>
                <w:rFonts w:cs="David"/>
                <w:sz w:val="24"/>
                <w:szCs w:val="24"/>
                <w:rtl/>
              </w:rPr>
            </w:pPr>
            <w:r>
              <w:rPr>
                <w:rFonts w:cs="David" w:hint="cs"/>
                <w:sz w:val="24"/>
                <w:szCs w:val="24"/>
                <w:rtl/>
              </w:rPr>
              <w:t>7.0</w:t>
            </w:r>
          </w:p>
        </w:tc>
      </w:tr>
      <w:tr w:rsidR="005952EB" w:rsidRPr="00E41381" w:rsidTr="00E41381">
        <w:trPr>
          <w:trHeight w:val="312"/>
        </w:trPr>
        <w:tc>
          <w:tcPr>
            <w:cnfStyle w:val="001000000000" w:firstRow="0" w:lastRow="0" w:firstColumn="1" w:lastColumn="0" w:oddVBand="0" w:evenVBand="0" w:oddHBand="0" w:evenHBand="0" w:firstRowFirstColumn="0" w:firstRowLastColumn="0" w:lastRowFirstColumn="0" w:lastRowLastColumn="0"/>
            <w:tcW w:w="2840" w:type="dxa"/>
          </w:tcPr>
          <w:p w:rsidR="005952EB" w:rsidRPr="00E41381" w:rsidRDefault="005952EB" w:rsidP="00E41381">
            <w:pPr>
              <w:pStyle w:val="ad"/>
              <w:ind w:left="43"/>
              <w:jc w:val="center"/>
              <w:rPr>
                <w:rFonts w:cs="David"/>
                <w:sz w:val="24"/>
                <w:szCs w:val="24"/>
                <w:rtl/>
              </w:rPr>
            </w:pPr>
            <w:r w:rsidRPr="00E41381">
              <w:rPr>
                <w:rFonts w:cs="David" w:hint="cs"/>
                <w:sz w:val="24"/>
                <w:szCs w:val="24"/>
                <w:rtl/>
              </w:rPr>
              <w:t>סה"כ</w:t>
            </w:r>
          </w:p>
        </w:tc>
        <w:tc>
          <w:tcPr>
            <w:tcW w:w="2841" w:type="dxa"/>
          </w:tcPr>
          <w:p w:rsidR="005952EB" w:rsidRPr="00E41381" w:rsidRDefault="00E41381" w:rsidP="00E41381">
            <w:pPr>
              <w:pStyle w:val="ad"/>
              <w:ind w:left="43"/>
              <w:jc w:val="center"/>
              <w:cnfStyle w:val="000000000000" w:firstRow="0" w:lastRow="0" w:firstColumn="0" w:lastColumn="0" w:oddVBand="0" w:evenVBand="0" w:oddHBand="0" w:evenHBand="0" w:firstRowFirstColumn="0" w:firstRowLastColumn="0" w:lastRowFirstColumn="0" w:lastRowLastColumn="0"/>
              <w:rPr>
                <w:rFonts w:cs="David"/>
                <w:b/>
                <w:bCs/>
                <w:sz w:val="24"/>
                <w:szCs w:val="24"/>
                <w:rtl/>
              </w:rPr>
            </w:pPr>
            <w:r>
              <w:rPr>
                <w:rFonts w:cs="David" w:hint="cs"/>
                <w:b/>
                <w:bCs/>
                <w:sz w:val="24"/>
                <w:szCs w:val="24"/>
                <w:rtl/>
              </w:rPr>
              <w:t>14,660</w:t>
            </w:r>
          </w:p>
        </w:tc>
        <w:tc>
          <w:tcPr>
            <w:tcW w:w="2841" w:type="dxa"/>
          </w:tcPr>
          <w:p w:rsidR="005952EB" w:rsidRPr="00E41381" w:rsidRDefault="005952EB" w:rsidP="00E41381">
            <w:pPr>
              <w:pStyle w:val="ad"/>
              <w:ind w:left="43"/>
              <w:jc w:val="center"/>
              <w:cnfStyle w:val="000000000000" w:firstRow="0" w:lastRow="0" w:firstColumn="0" w:lastColumn="0" w:oddVBand="0" w:evenVBand="0" w:oddHBand="0" w:evenHBand="0" w:firstRowFirstColumn="0" w:firstRowLastColumn="0" w:lastRowFirstColumn="0" w:lastRowLastColumn="0"/>
              <w:rPr>
                <w:rFonts w:cs="David"/>
                <w:b/>
                <w:bCs/>
                <w:sz w:val="24"/>
                <w:szCs w:val="24"/>
                <w:rtl/>
              </w:rPr>
            </w:pPr>
            <w:r w:rsidRPr="00E41381">
              <w:rPr>
                <w:rFonts w:cs="David" w:hint="cs"/>
                <w:b/>
                <w:bCs/>
                <w:sz w:val="24"/>
                <w:szCs w:val="24"/>
                <w:rtl/>
              </w:rPr>
              <w:t>100.0</w:t>
            </w:r>
          </w:p>
        </w:tc>
      </w:tr>
    </w:tbl>
    <w:p w:rsidR="003804A6" w:rsidRDefault="003804A6" w:rsidP="003804A6">
      <w:pPr>
        <w:pStyle w:val="ad"/>
        <w:ind w:left="43"/>
        <w:jc w:val="both"/>
        <w:rPr>
          <w:rFonts w:cs="David"/>
          <w:color w:val="17365D"/>
          <w:sz w:val="24"/>
          <w:szCs w:val="24"/>
          <w:rtl/>
        </w:rPr>
      </w:pPr>
    </w:p>
    <w:p w:rsidR="003804A6" w:rsidRDefault="003804A6" w:rsidP="009C2F2C">
      <w:pPr>
        <w:pStyle w:val="ad"/>
        <w:ind w:left="43"/>
        <w:jc w:val="both"/>
        <w:rPr>
          <w:rFonts w:cs="David"/>
          <w:color w:val="17365D"/>
          <w:sz w:val="24"/>
          <w:szCs w:val="24"/>
          <w:rtl/>
        </w:rPr>
      </w:pPr>
      <w:r>
        <w:rPr>
          <w:rFonts w:cs="David" w:hint="cs"/>
          <w:color w:val="17365D"/>
          <w:sz w:val="24"/>
          <w:szCs w:val="24"/>
          <w:rtl/>
        </w:rPr>
        <w:t>תרשים 6 מתאר את התפלגותם של גידולים אלה לפי גיל; בעוד שבגיל ה</w:t>
      </w:r>
      <w:r w:rsidR="009C2F2C">
        <w:rPr>
          <w:rFonts w:cs="David" w:hint="cs"/>
          <w:color w:val="17365D"/>
          <w:sz w:val="24"/>
          <w:szCs w:val="24"/>
          <w:rtl/>
        </w:rPr>
        <w:t xml:space="preserve">צעיר (0-19) </w:t>
      </w:r>
      <w:proofErr w:type="spellStart"/>
      <w:r>
        <w:rPr>
          <w:rFonts w:cs="David" w:hint="cs"/>
          <w:color w:val="17365D"/>
          <w:sz w:val="24"/>
          <w:szCs w:val="24"/>
          <w:rtl/>
        </w:rPr>
        <w:t>מנינגיומות</w:t>
      </w:r>
      <w:proofErr w:type="spellEnd"/>
      <w:r>
        <w:rPr>
          <w:rFonts w:cs="David" w:hint="cs"/>
          <w:color w:val="17365D"/>
          <w:sz w:val="24"/>
          <w:szCs w:val="24"/>
          <w:rtl/>
        </w:rPr>
        <w:t xml:space="preserve"> נדירות למדי, במבוגרים </w:t>
      </w:r>
      <w:r w:rsidR="009C2F2C">
        <w:rPr>
          <w:rFonts w:cs="David" w:hint="cs"/>
          <w:color w:val="17365D"/>
          <w:sz w:val="24"/>
          <w:szCs w:val="24"/>
          <w:rtl/>
        </w:rPr>
        <w:t>(20-64)</w:t>
      </w:r>
      <w:r>
        <w:rPr>
          <w:rFonts w:cs="David" w:hint="cs"/>
          <w:color w:val="17365D"/>
          <w:sz w:val="24"/>
          <w:szCs w:val="24"/>
          <w:rtl/>
        </w:rPr>
        <w:t xml:space="preserve"> וב</w:t>
      </w:r>
      <w:r w:rsidR="009C2F2C">
        <w:rPr>
          <w:rFonts w:cs="David" w:hint="cs"/>
          <w:color w:val="17365D"/>
          <w:sz w:val="24"/>
          <w:szCs w:val="24"/>
          <w:rtl/>
        </w:rPr>
        <w:t>קשישים (65+)</w:t>
      </w:r>
      <w:r>
        <w:rPr>
          <w:rFonts w:cs="David" w:hint="cs"/>
          <w:color w:val="17365D"/>
          <w:sz w:val="24"/>
          <w:szCs w:val="24"/>
          <w:rtl/>
        </w:rPr>
        <w:t xml:space="preserve"> </w:t>
      </w:r>
      <w:proofErr w:type="spellStart"/>
      <w:r>
        <w:rPr>
          <w:rFonts w:cs="David" w:hint="cs"/>
          <w:color w:val="17365D"/>
          <w:sz w:val="24"/>
          <w:szCs w:val="24"/>
          <w:rtl/>
        </w:rPr>
        <w:t>מנינגיומות</w:t>
      </w:r>
      <w:proofErr w:type="spellEnd"/>
      <w:r>
        <w:rPr>
          <w:rFonts w:cs="David" w:hint="cs"/>
          <w:color w:val="17365D"/>
          <w:sz w:val="24"/>
          <w:szCs w:val="24"/>
          <w:rtl/>
        </w:rPr>
        <w:t xml:space="preserve"> הן הגידולים השכיחים ביותר.</w:t>
      </w:r>
    </w:p>
    <w:p w:rsidR="003804A6" w:rsidRDefault="003804A6" w:rsidP="003804A6">
      <w:pPr>
        <w:pStyle w:val="ad"/>
        <w:ind w:left="43"/>
        <w:jc w:val="both"/>
        <w:rPr>
          <w:rFonts w:cs="David"/>
          <w:color w:val="17365D"/>
          <w:sz w:val="20"/>
          <w:szCs w:val="20"/>
          <w:rtl/>
        </w:rPr>
      </w:pPr>
    </w:p>
    <w:p w:rsidR="003804A6" w:rsidRDefault="003804A6" w:rsidP="003804A6">
      <w:pPr>
        <w:pStyle w:val="ad"/>
        <w:ind w:left="43"/>
        <w:jc w:val="both"/>
        <w:rPr>
          <w:rFonts w:cs="David"/>
          <w:color w:val="17365D"/>
          <w:sz w:val="24"/>
          <w:szCs w:val="24"/>
          <w:rtl/>
        </w:rPr>
      </w:pPr>
      <w:r w:rsidRPr="00142E1E">
        <w:rPr>
          <w:rFonts w:cs="David" w:hint="cs"/>
          <w:color w:val="17365D"/>
          <w:sz w:val="20"/>
          <w:szCs w:val="20"/>
          <w:rtl/>
        </w:rPr>
        <w:t xml:space="preserve">תרשים </w:t>
      </w:r>
      <w:r>
        <w:rPr>
          <w:rFonts w:cs="David" w:hint="cs"/>
          <w:color w:val="17365D"/>
          <w:sz w:val="20"/>
          <w:szCs w:val="20"/>
          <w:rtl/>
        </w:rPr>
        <w:t>6</w:t>
      </w:r>
      <w:r w:rsidRPr="00142E1E">
        <w:rPr>
          <w:rFonts w:cs="David" w:hint="cs"/>
          <w:color w:val="17365D"/>
          <w:sz w:val="20"/>
          <w:szCs w:val="20"/>
          <w:rtl/>
        </w:rPr>
        <w:t xml:space="preserve">: </w:t>
      </w:r>
      <w:r w:rsidRPr="00142E1E">
        <w:rPr>
          <w:rFonts w:cs="David" w:hint="cs"/>
          <w:b/>
          <w:bCs/>
          <w:color w:val="17365D"/>
          <w:sz w:val="20"/>
          <w:szCs w:val="20"/>
          <w:rtl/>
        </w:rPr>
        <w:t xml:space="preserve">התפלגות גידולים </w:t>
      </w:r>
      <w:r>
        <w:rPr>
          <w:rFonts w:cs="David" w:hint="cs"/>
          <w:b/>
          <w:bCs/>
          <w:color w:val="17365D"/>
          <w:sz w:val="20"/>
          <w:szCs w:val="20"/>
          <w:rtl/>
        </w:rPr>
        <w:t>שפירים</w:t>
      </w:r>
      <w:r w:rsidR="00AF4AF2">
        <w:rPr>
          <w:rFonts w:cs="David" w:hint="cs"/>
          <w:b/>
          <w:bCs/>
          <w:color w:val="17365D"/>
          <w:sz w:val="20"/>
          <w:szCs w:val="20"/>
          <w:rtl/>
        </w:rPr>
        <w:t>/התנהגות לא ברורה</w:t>
      </w:r>
      <w:r>
        <w:rPr>
          <w:rFonts w:cs="David" w:hint="cs"/>
          <w:b/>
          <w:bCs/>
          <w:color w:val="17365D"/>
          <w:sz w:val="20"/>
          <w:szCs w:val="20"/>
          <w:rtl/>
        </w:rPr>
        <w:t xml:space="preserve"> </w:t>
      </w:r>
      <w:r w:rsidRPr="00142E1E">
        <w:rPr>
          <w:rFonts w:cs="David" w:hint="cs"/>
          <w:b/>
          <w:bCs/>
          <w:color w:val="17365D"/>
          <w:sz w:val="20"/>
          <w:szCs w:val="20"/>
          <w:rtl/>
        </w:rPr>
        <w:t>של המח ומערכת העצבים המרכזית בישראל, 1990-2014, לפי קבוצות גיל</w:t>
      </w:r>
    </w:p>
    <w:p w:rsidR="003804A6" w:rsidRDefault="003804A6" w:rsidP="003804A6">
      <w:pPr>
        <w:pStyle w:val="ad"/>
        <w:ind w:left="43"/>
        <w:jc w:val="both"/>
        <w:rPr>
          <w:rFonts w:cs="David"/>
          <w:color w:val="17365D"/>
          <w:sz w:val="24"/>
          <w:szCs w:val="24"/>
          <w:rtl/>
        </w:rPr>
      </w:pPr>
      <w:r>
        <w:rPr>
          <w:noProof/>
        </w:rPr>
        <w:drawing>
          <wp:inline distT="0" distB="0" distL="0" distR="0" wp14:anchorId="0FEDE21F" wp14:editId="34086F5E">
            <wp:extent cx="5486400" cy="3582670"/>
            <wp:effectExtent l="0" t="0" r="19050" b="177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804A6" w:rsidRDefault="003804A6" w:rsidP="003804A6">
      <w:pPr>
        <w:pStyle w:val="ad"/>
        <w:ind w:left="43"/>
        <w:jc w:val="both"/>
        <w:rPr>
          <w:rFonts w:cs="David"/>
          <w:color w:val="17365D"/>
          <w:sz w:val="24"/>
          <w:szCs w:val="24"/>
          <w:rtl/>
        </w:rPr>
      </w:pPr>
    </w:p>
    <w:p w:rsidR="003804A6" w:rsidRDefault="003804A6" w:rsidP="00F212FE">
      <w:pPr>
        <w:pStyle w:val="ad"/>
        <w:ind w:left="43"/>
        <w:jc w:val="both"/>
        <w:rPr>
          <w:rFonts w:cs="David"/>
          <w:color w:val="17365D"/>
          <w:sz w:val="20"/>
          <w:szCs w:val="20"/>
        </w:rPr>
      </w:pPr>
      <w:r>
        <w:rPr>
          <w:rFonts w:cs="David" w:hint="cs"/>
          <w:color w:val="17365D"/>
          <w:sz w:val="24"/>
          <w:szCs w:val="24"/>
          <w:rtl/>
        </w:rPr>
        <w:t xml:space="preserve">תרשים 7 מתאר את התפלגות הסוגים השונים של גידולי מח </w:t>
      </w:r>
      <w:r w:rsidR="004C0534">
        <w:rPr>
          <w:rFonts w:cs="David" w:hint="cs"/>
          <w:color w:val="17365D"/>
          <w:sz w:val="24"/>
          <w:szCs w:val="24"/>
          <w:rtl/>
        </w:rPr>
        <w:t>שפירים/בעלי התנהגות לא ברורה</w:t>
      </w:r>
      <w:r>
        <w:rPr>
          <w:rFonts w:cs="David" w:hint="cs"/>
          <w:color w:val="17365D"/>
          <w:sz w:val="24"/>
          <w:szCs w:val="24"/>
          <w:rtl/>
        </w:rPr>
        <w:t xml:space="preserve">  במהלך התקופה 1990-2014.</w:t>
      </w:r>
      <w:r w:rsidR="00F22136">
        <w:rPr>
          <w:rFonts w:cs="David" w:hint="cs"/>
          <w:color w:val="17365D"/>
          <w:sz w:val="24"/>
          <w:szCs w:val="24"/>
          <w:rtl/>
        </w:rPr>
        <w:t xml:space="preserve"> נצפתה </w:t>
      </w:r>
      <w:r>
        <w:rPr>
          <w:rFonts w:cs="David" w:hint="cs"/>
          <w:color w:val="17365D"/>
          <w:sz w:val="24"/>
          <w:szCs w:val="24"/>
          <w:rtl/>
        </w:rPr>
        <w:t>עלייה בהיארעות מנינגיומ</w:t>
      </w:r>
      <w:r w:rsidR="00F22136">
        <w:rPr>
          <w:rFonts w:cs="David" w:hint="cs"/>
          <w:color w:val="17365D"/>
          <w:sz w:val="24"/>
          <w:szCs w:val="24"/>
          <w:rtl/>
        </w:rPr>
        <w:t>ה</w:t>
      </w:r>
      <w:r>
        <w:rPr>
          <w:rFonts w:cs="David" w:hint="cs"/>
          <w:color w:val="17365D"/>
          <w:sz w:val="24"/>
          <w:szCs w:val="24"/>
          <w:rtl/>
        </w:rPr>
        <w:t xml:space="preserve"> </w:t>
      </w:r>
      <w:r w:rsidR="00F212FE">
        <w:rPr>
          <w:rFonts w:cs="David" w:hint="cs"/>
          <w:color w:val="17365D"/>
          <w:sz w:val="24"/>
          <w:szCs w:val="24"/>
          <w:rtl/>
        </w:rPr>
        <w:t>ב</w:t>
      </w:r>
      <w:r w:rsidR="000D330B">
        <w:rPr>
          <w:rFonts w:cs="David" w:hint="cs"/>
          <w:color w:val="17365D"/>
          <w:sz w:val="24"/>
          <w:szCs w:val="24"/>
          <w:rtl/>
        </w:rPr>
        <w:t xml:space="preserve">אמצע שנות ה-90' </w:t>
      </w:r>
      <w:r w:rsidR="00F22136">
        <w:rPr>
          <w:rFonts w:cs="David" w:hint="cs"/>
          <w:color w:val="17365D"/>
          <w:sz w:val="24"/>
          <w:szCs w:val="24"/>
          <w:rtl/>
        </w:rPr>
        <w:t>בכל קבוצות האוכלוסייה</w:t>
      </w:r>
      <w:r w:rsidR="00F212FE">
        <w:rPr>
          <w:rFonts w:cs="David" w:hint="cs"/>
          <w:color w:val="17365D"/>
          <w:sz w:val="24"/>
          <w:szCs w:val="24"/>
          <w:rtl/>
        </w:rPr>
        <w:t xml:space="preserve"> במקביל לירידה בהיארעות גידולים "אחרים"</w:t>
      </w:r>
      <w:r>
        <w:rPr>
          <w:rFonts w:cs="David" w:hint="cs"/>
          <w:color w:val="17365D"/>
          <w:sz w:val="24"/>
          <w:szCs w:val="24"/>
          <w:rtl/>
        </w:rPr>
        <w:t xml:space="preserve">, </w:t>
      </w:r>
      <w:r w:rsidR="00F212FE">
        <w:rPr>
          <w:rFonts w:cs="David" w:hint="cs"/>
          <w:color w:val="17365D"/>
          <w:sz w:val="24"/>
          <w:szCs w:val="24"/>
          <w:rtl/>
        </w:rPr>
        <w:t xml:space="preserve">ועלייה בהיארעות </w:t>
      </w:r>
      <w:proofErr w:type="spellStart"/>
      <w:r w:rsidR="00F212FE">
        <w:rPr>
          <w:rFonts w:cs="David" w:hint="cs"/>
          <w:color w:val="17365D"/>
          <w:sz w:val="24"/>
          <w:szCs w:val="24"/>
          <w:rtl/>
        </w:rPr>
        <w:t>אדנומה</w:t>
      </w:r>
      <w:proofErr w:type="spellEnd"/>
      <w:r w:rsidR="00F212FE">
        <w:rPr>
          <w:rFonts w:cs="David" w:hint="cs"/>
          <w:color w:val="17365D"/>
          <w:sz w:val="24"/>
          <w:szCs w:val="24"/>
          <w:rtl/>
        </w:rPr>
        <w:t xml:space="preserve"> של בלוטת יותרת המח בעשור של שנות ה-2000. </w:t>
      </w:r>
      <w:r w:rsidR="00F22136">
        <w:rPr>
          <w:rFonts w:cs="David" w:hint="cs"/>
          <w:color w:val="17365D"/>
          <w:sz w:val="24"/>
          <w:szCs w:val="24"/>
          <w:rtl/>
        </w:rPr>
        <w:t xml:space="preserve">למעט </w:t>
      </w:r>
      <w:r w:rsidR="00E41381">
        <w:rPr>
          <w:rFonts w:cs="David" w:hint="cs"/>
          <w:color w:val="17365D"/>
          <w:sz w:val="24"/>
          <w:szCs w:val="24"/>
          <w:rtl/>
        </w:rPr>
        <w:t>ז</w:t>
      </w:r>
      <w:r w:rsidR="00F22136">
        <w:rPr>
          <w:rFonts w:cs="David" w:hint="cs"/>
          <w:color w:val="17365D"/>
          <w:sz w:val="24"/>
          <w:szCs w:val="24"/>
          <w:rtl/>
        </w:rPr>
        <w:t xml:space="preserve">את </w:t>
      </w:r>
      <w:r>
        <w:rPr>
          <w:rFonts w:cs="David" w:hint="cs"/>
          <w:color w:val="17365D"/>
          <w:sz w:val="24"/>
          <w:szCs w:val="24"/>
          <w:rtl/>
        </w:rPr>
        <w:t>לא נראה כי חל שינוי מהותי בהתפלגות.</w:t>
      </w:r>
      <w:r w:rsidR="000D330B" w:rsidRPr="000D330B">
        <w:rPr>
          <w:rFonts w:cs="David" w:hint="cs"/>
          <w:color w:val="17365D"/>
          <w:sz w:val="24"/>
          <w:szCs w:val="24"/>
          <w:rtl/>
        </w:rPr>
        <w:t xml:space="preserve"> </w:t>
      </w:r>
    </w:p>
    <w:p w:rsidR="00E41381" w:rsidRDefault="00E41381" w:rsidP="003804A6">
      <w:pPr>
        <w:pStyle w:val="ad"/>
        <w:spacing w:after="0"/>
        <w:ind w:left="43"/>
        <w:jc w:val="both"/>
        <w:rPr>
          <w:rFonts w:cs="David"/>
          <w:color w:val="17365D"/>
          <w:sz w:val="20"/>
          <w:szCs w:val="20"/>
          <w:rtl/>
        </w:rPr>
      </w:pPr>
    </w:p>
    <w:p w:rsidR="003804A6" w:rsidRDefault="003804A6" w:rsidP="003804A6">
      <w:pPr>
        <w:pStyle w:val="ad"/>
        <w:spacing w:after="0"/>
        <w:ind w:left="43"/>
        <w:jc w:val="both"/>
        <w:rPr>
          <w:rFonts w:cs="David"/>
          <w:b/>
          <w:bCs/>
          <w:color w:val="17365D"/>
          <w:sz w:val="20"/>
          <w:szCs w:val="20"/>
          <w:rtl/>
        </w:rPr>
      </w:pPr>
      <w:r w:rsidRPr="00142E1E">
        <w:rPr>
          <w:rFonts w:cs="David" w:hint="cs"/>
          <w:color w:val="17365D"/>
          <w:sz w:val="20"/>
          <w:szCs w:val="20"/>
          <w:rtl/>
        </w:rPr>
        <w:t xml:space="preserve">תרשים </w:t>
      </w:r>
      <w:r>
        <w:rPr>
          <w:rFonts w:cs="David" w:hint="cs"/>
          <w:color w:val="17365D"/>
          <w:sz w:val="20"/>
          <w:szCs w:val="20"/>
          <w:rtl/>
        </w:rPr>
        <w:t>7</w:t>
      </w:r>
      <w:r w:rsidRPr="00142E1E">
        <w:rPr>
          <w:rFonts w:cs="David" w:hint="cs"/>
          <w:color w:val="17365D"/>
          <w:sz w:val="20"/>
          <w:szCs w:val="20"/>
          <w:rtl/>
        </w:rPr>
        <w:t xml:space="preserve">: </w:t>
      </w:r>
      <w:r w:rsidRPr="00142E1E">
        <w:rPr>
          <w:rFonts w:cs="David" w:hint="cs"/>
          <w:b/>
          <w:bCs/>
          <w:color w:val="17365D"/>
          <w:sz w:val="20"/>
          <w:szCs w:val="20"/>
          <w:rtl/>
        </w:rPr>
        <w:t xml:space="preserve">התפלגות </w:t>
      </w:r>
      <w:r>
        <w:rPr>
          <w:rFonts w:cs="David" w:hint="cs"/>
          <w:b/>
          <w:bCs/>
          <w:color w:val="17365D"/>
          <w:sz w:val="20"/>
          <w:szCs w:val="20"/>
          <w:rtl/>
        </w:rPr>
        <w:t>סוגי ה</w:t>
      </w:r>
      <w:r w:rsidRPr="00142E1E">
        <w:rPr>
          <w:rFonts w:cs="David" w:hint="cs"/>
          <w:b/>
          <w:bCs/>
          <w:color w:val="17365D"/>
          <w:sz w:val="20"/>
          <w:szCs w:val="20"/>
          <w:rtl/>
        </w:rPr>
        <w:t xml:space="preserve">גידולים </w:t>
      </w:r>
      <w:r>
        <w:rPr>
          <w:rFonts w:cs="David" w:hint="cs"/>
          <w:b/>
          <w:bCs/>
          <w:color w:val="17365D"/>
          <w:sz w:val="20"/>
          <w:szCs w:val="20"/>
          <w:rtl/>
        </w:rPr>
        <w:t>השפיר</w:t>
      </w:r>
      <w:r w:rsidRPr="00142E1E">
        <w:rPr>
          <w:rFonts w:cs="David" w:hint="cs"/>
          <w:b/>
          <w:bCs/>
          <w:color w:val="17365D"/>
          <w:sz w:val="20"/>
          <w:szCs w:val="20"/>
          <w:rtl/>
        </w:rPr>
        <w:t>ים</w:t>
      </w:r>
      <w:r w:rsidR="00AF4AF2">
        <w:rPr>
          <w:rFonts w:cs="David" w:hint="cs"/>
          <w:b/>
          <w:bCs/>
          <w:color w:val="17365D"/>
          <w:sz w:val="20"/>
          <w:szCs w:val="20"/>
          <w:rtl/>
        </w:rPr>
        <w:t>/התנהגות לא ברורה</w:t>
      </w:r>
      <w:r w:rsidRPr="00142E1E">
        <w:rPr>
          <w:rFonts w:cs="David" w:hint="cs"/>
          <w:b/>
          <w:bCs/>
          <w:color w:val="17365D"/>
          <w:sz w:val="20"/>
          <w:szCs w:val="20"/>
          <w:rtl/>
        </w:rPr>
        <w:t xml:space="preserve"> </w:t>
      </w:r>
      <w:r>
        <w:rPr>
          <w:rFonts w:cs="David" w:hint="cs"/>
          <w:b/>
          <w:bCs/>
          <w:color w:val="17365D"/>
          <w:sz w:val="20"/>
          <w:szCs w:val="20"/>
          <w:rtl/>
        </w:rPr>
        <w:t>ב</w:t>
      </w:r>
      <w:r w:rsidRPr="00142E1E">
        <w:rPr>
          <w:rFonts w:cs="David" w:hint="cs"/>
          <w:b/>
          <w:bCs/>
          <w:color w:val="17365D"/>
          <w:sz w:val="20"/>
          <w:szCs w:val="20"/>
          <w:rtl/>
        </w:rPr>
        <w:t>מח ו</w:t>
      </w:r>
      <w:r>
        <w:rPr>
          <w:rFonts w:cs="David" w:hint="cs"/>
          <w:b/>
          <w:bCs/>
          <w:color w:val="17365D"/>
          <w:sz w:val="20"/>
          <w:szCs w:val="20"/>
          <w:rtl/>
        </w:rPr>
        <w:t>ב</w:t>
      </w:r>
      <w:r w:rsidRPr="00142E1E">
        <w:rPr>
          <w:rFonts w:cs="David" w:hint="cs"/>
          <w:b/>
          <w:bCs/>
          <w:color w:val="17365D"/>
          <w:sz w:val="20"/>
          <w:szCs w:val="20"/>
          <w:rtl/>
        </w:rPr>
        <w:t xml:space="preserve">מערכת העצבים המרכזית בישראל, 1990-2014, לפי </w:t>
      </w:r>
      <w:r>
        <w:rPr>
          <w:rFonts w:cs="David" w:hint="cs"/>
          <w:b/>
          <w:bCs/>
          <w:color w:val="17365D"/>
          <w:sz w:val="20"/>
          <w:szCs w:val="20"/>
          <w:rtl/>
        </w:rPr>
        <w:t>שנה</w:t>
      </w:r>
    </w:p>
    <w:p w:rsidR="005952EB" w:rsidRDefault="003804A6" w:rsidP="006E2770">
      <w:pPr>
        <w:pStyle w:val="ad"/>
        <w:spacing w:after="0"/>
        <w:ind w:left="43"/>
        <w:jc w:val="both"/>
        <w:rPr>
          <w:rFonts w:cs="David"/>
          <w:b/>
          <w:bCs/>
          <w:color w:val="17365D"/>
          <w:sz w:val="28"/>
          <w:szCs w:val="28"/>
        </w:rPr>
      </w:pPr>
      <w:r>
        <w:rPr>
          <w:noProof/>
        </w:rPr>
        <w:drawing>
          <wp:inline distT="0" distB="0" distL="0" distR="0" wp14:anchorId="6440BA02" wp14:editId="222CC109">
            <wp:extent cx="5486400" cy="3582670"/>
            <wp:effectExtent l="0" t="0" r="19050" b="1778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53462" w:rsidRDefault="00F53462" w:rsidP="006E2770">
      <w:pPr>
        <w:pStyle w:val="ad"/>
        <w:spacing w:after="0"/>
        <w:ind w:left="43"/>
        <w:jc w:val="both"/>
        <w:rPr>
          <w:rFonts w:cs="David"/>
          <w:b/>
          <w:bCs/>
          <w:color w:val="17365D"/>
          <w:sz w:val="28"/>
          <w:szCs w:val="28"/>
          <w:rtl/>
        </w:rPr>
      </w:pPr>
    </w:p>
    <w:p w:rsidR="00E80DBA" w:rsidRDefault="00F212FE" w:rsidP="00E9629E">
      <w:pPr>
        <w:pStyle w:val="ad"/>
        <w:ind w:left="43"/>
        <w:jc w:val="both"/>
        <w:rPr>
          <w:rFonts w:cs="David"/>
          <w:color w:val="17365D"/>
          <w:sz w:val="24"/>
          <w:szCs w:val="24"/>
          <w:rtl/>
        </w:rPr>
      </w:pPr>
      <w:r w:rsidRPr="000D330B">
        <w:rPr>
          <w:rFonts w:cs="David" w:hint="cs"/>
          <w:color w:val="17365D"/>
          <w:sz w:val="24"/>
          <w:szCs w:val="24"/>
          <w:rtl/>
        </w:rPr>
        <w:t xml:space="preserve">שיעורי </w:t>
      </w:r>
      <w:r>
        <w:rPr>
          <w:rFonts w:cs="David" w:hint="cs"/>
          <w:color w:val="17365D"/>
          <w:sz w:val="24"/>
          <w:szCs w:val="24"/>
          <w:rtl/>
        </w:rPr>
        <w:t>ה</w:t>
      </w:r>
      <w:r w:rsidR="003804A6" w:rsidRPr="000B49DB">
        <w:rPr>
          <w:rFonts w:cs="David" w:hint="cs"/>
          <w:color w:val="17365D"/>
          <w:sz w:val="24"/>
          <w:szCs w:val="24"/>
          <w:rtl/>
        </w:rPr>
        <w:t xml:space="preserve">היארעות </w:t>
      </w:r>
      <w:r>
        <w:rPr>
          <w:rFonts w:cs="David" w:hint="cs"/>
          <w:color w:val="17365D"/>
          <w:sz w:val="24"/>
          <w:szCs w:val="24"/>
          <w:rtl/>
        </w:rPr>
        <w:t xml:space="preserve">של </w:t>
      </w:r>
      <w:r w:rsidR="003804A6" w:rsidRPr="000B49DB">
        <w:rPr>
          <w:rFonts w:cs="David" w:hint="cs"/>
          <w:color w:val="17365D"/>
          <w:sz w:val="24"/>
          <w:szCs w:val="24"/>
          <w:rtl/>
        </w:rPr>
        <w:t xml:space="preserve">גידולי מוח </w:t>
      </w:r>
      <w:r w:rsidR="005E500E">
        <w:rPr>
          <w:rFonts w:cs="David" w:hint="cs"/>
          <w:color w:val="17365D"/>
          <w:sz w:val="24"/>
          <w:szCs w:val="24"/>
          <w:rtl/>
        </w:rPr>
        <w:t>שפיר</w:t>
      </w:r>
      <w:r w:rsidR="003804A6" w:rsidRPr="000B49DB">
        <w:rPr>
          <w:rFonts w:cs="David" w:hint="cs"/>
          <w:color w:val="17365D"/>
          <w:sz w:val="24"/>
          <w:szCs w:val="24"/>
          <w:rtl/>
        </w:rPr>
        <w:t>ים</w:t>
      </w:r>
      <w:r w:rsidR="00AF4AF2">
        <w:rPr>
          <w:rFonts w:cs="David" w:hint="cs"/>
          <w:color w:val="17365D"/>
          <w:sz w:val="24"/>
          <w:szCs w:val="24"/>
          <w:rtl/>
        </w:rPr>
        <w:t>/בעלי התנהגות לא ברורה</w:t>
      </w:r>
      <w:r w:rsidR="00E9629E">
        <w:rPr>
          <w:rFonts w:cs="David" w:hint="cs"/>
          <w:color w:val="17365D"/>
          <w:sz w:val="24"/>
          <w:szCs w:val="24"/>
          <w:rtl/>
        </w:rPr>
        <w:t xml:space="preserve"> בין 1990 ו-2014 בישראל היו </w:t>
      </w:r>
      <w:r w:rsidR="003804A6" w:rsidRPr="000D330B">
        <w:rPr>
          <w:rFonts w:cs="David" w:hint="cs"/>
          <w:color w:val="17365D"/>
          <w:sz w:val="24"/>
          <w:szCs w:val="24"/>
          <w:rtl/>
        </w:rPr>
        <w:t xml:space="preserve">דומים בין יהודים וערבים, </w:t>
      </w:r>
      <w:r w:rsidR="000D330B" w:rsidRPr="000D330B">
        <w:rPr>
          <w:rFonts w:cs="David" w:hint="cs"/>
          <w:color w:val="17365D"/>
          <w:sz w:val="24"/>
          <w:szCs w:val="24"/>
          <w:rtl/>
        </w:rPr>
        <w:t>ו</w:t>
      </w:r>
      <w:r w:rsidR="003804A6" w:rsidRPr="000D330B">
        <w:rPr>
          <w:rFonts w:cs="David" w:hint="cs"/>
          <w:color w:val="17365D"/>
          <w:sz w:val="24"/>
          <w:szCs w:val="24"/>
          <w:rtl/>
        </w:rPr>
        <w:t>גבוהים ב</w:t>
      </w:r>
      <w:r w:rsidR="000D330B" w:rsidRPr="000D330B">
        <w:rPr>
          <w:rFonts w:cs="David" w:hint="cs"/>
          <w:color w:val="17365D"/>
          <w:sz w:val="24"/>
          <w:szCs w:val="24"/>
          <w:rtl/>
        </w:rPr>
        <w:t>נשי</w:t>
      </w:r>
      <w:r w:rsidR="003804A6" w:rsidRPr="000D330B">
        <w:rPr>
          <w:rFonts w:cs="David" w:hint="cs"/>
          <w:color w:val="17365D"/>
          <w:sz w:val="24"/>
          <w:szCs w:val="24"/>
          <w:rtl/>
        </w:rPr>
        <w:t xml:space="preserve">ם לעומת </w:t>
      </w:r>
      <w:r w:rsidR="000D330B" w:rsidRPr="000D330B">
        <w:rPr>
          <w:rFonts w:cs="David" w:hint="cs"/>
          <w:color w:val="17365D"/>
          <w:sz w:val="24"/>
          <w:szCs w:val="24"/>
          <w:rtl/>
        </w:rPr>
        <w:t>גבר</w:t>
      </w:r>
      <w:r w:rsidR="003804A6" w:rsidRPr="000D330B">
        <w:rPr>
          <w:rFonts w:cs="David" w:hint="cs"/>
          <w:color w:val="17365D"/>
          <w:sz w:val="24"/>
          <w:szCs w:val="24"/>
          <w:rtl/>
        </w:rPr>
        <w:t>ים</w:t>
      </w:r>
      <w:r w:rsidR="000D330B" w:rsidRPr="000D330B">
        <w:rPr>
          <w:rFonts w:cs="David" w:hint="cs"/>
          <w:color w:val="17365D"/>
          <w:sz w:val="24"/>
          <w:szCs w:val="24"/>
          <w:rtl/>
        </w:rPr>
        <w:t xml:space="preserve">. </w:t>
      </w:r>
    </w:p>
    <w:p w:rsidR="00F22136" w:rsidRDefault="00E9629E" w:rsidP="00E9629E">
      <w:pPr>
        <w:pStyle w:val="ad"/>
        <w:ind w:left="43"/>
        <w:jc w:val="both"/>
        <w:rPr>
          <w:rFonts w:cs="David"/>
          <w:color w:val="17365D"/>
          <w:sz w:val="24"/>
          <w:szCs w:val="24"/>
          <w:rtl/>
        </w:rPr>
      </w:pPr>
      <w:r>
        <w:rPr>
          <w:rFonts w:cs="David" w:hint="cs"/>
          <w:color w:val="17365D"/>
          <w:sz w:val="24"/>
          <w:szCs w:val="24"/>
          <w:rtl/>
        </w:rPr>
        <w:t xml:space="preserve">כאשר נבחנו המגמות העתיות (1990-2014) נמצא כי </w:t>
      </w:r>
      <w:r w:rsidR="000D330B" w:rsidRPr="000F1A0F">
        <w:rPr>
          <w:rFonts w:cs="David" w:hint="cs"/>
          <w:b/>
          <w:bCs/>
          <w:color w:val="17365D"/>
          <w:sz w:val="24"/>
          <w:szCs w:val="24"/>
          <w:rtl/>
        </w:rPr>
        <w:t>בגברים יהודים ההיארעות הייתה יציבה בין 1990-2005; לאחר מכן נצפתה ירידה מובהקת בשיעור שנתי של 4%</w:t>
      </w:r>
      <w:r w:rsidR="000D330B">
        <w:rPr>
          <w:rFonts w:cs="David" w:hint="cs"/>
          <w:color w:val="17365D"/>
          <w:sz w:val="24"/>
          <w:szCs w:val="24"/>
          <w:rtl/>
        </w:rPr>
        <w:t xml:space="preserve"> </w:t>
      </w:r>
      <w:r w:rsidR="000D330B">
        <w:rPr>
          <w:rFonts w:cs="David"/>
          <w:color w:val="17365D"/>
          <w:sz w:val="24"/>
          <w:szCs w:val="24"/>
        </w:rPr>
        <w:t>(APC</w:t>
      </w:r>
      <w:r w:rsidR="000D330B" w:rsidRPr="000D330B">
        <w:rPr>
          <w:rFonts w:cs="David"/>
          <w:color w:val="17365D"/>
          <w:sz w:val="24"/>
          <w:szCs w:val="24"/>
          <w:vertAlign w:val="subscript"/>
        </w:rPr>
        <w:t>1995-2014</w:t>
      </w:r>
      <w:r w:rsidR="000D330B">
        <w:rPr>
          <w:rFonts w:cs="David"/>
          <w:color w:val="17365D"/>
          <w:sz w:val="24"/>
          <w:szCs w:val="24"/>
        </w:rPr>
        <w:t>=-4.1%)</w:t>
      </w:r>
      <w:r w:rsidR="000D330B">
        <w:rPr>
          <w:rFonts w:cs="David" w:hint="cs"/>
          <w:color w:val="17365D"/>
          <w:sz w:val="24"/>
          <w:szCs w:val="24"/>
          <w:rtl/>
        </w:rPr>
        <w:t xml:space="preserve">. </w:t>
      </w:r>
      <w:r w:rsidR="000D330B" w:rsidRPr="000F1A0F">
        <w:rPr>
          <w:rFonts w:cs="David" w:hint="cs"/>
          <w:b/>
          <w:bCs/>
          <w:color w:val="17365D"/>
          <w:sz w:val="24"/>
          <w:szCs w:val="24"/>
          <w:rtl/>
        </w:rPr>
        <w:t xml:space="preserve">בנשים יהודיות נצפתה עלייה מובהקת בהיארעות </w:t>
      </w:r>
      <w:r w:rsidR="00E80DBA" w:rsidRPr="000F1A0F">
        <w:rPr>
          <w:rFonts w:cs="David" w:hint="cs"/>
          <w:b/>
          <w:bCs/>
          <w:color w:val="17365D"/>
          <w:sz w:val="24"/>
          <w:szCs w:val="24"/>
          <w:rtl/>
        </w:rPr>
        <w:t xml:space="preserve">בשיעור שנתי של כ-2% </w:t>
      </w:r>
      <w:r w:rsidR="000D330B" w:rsidRPr="000F1A0F">
        <w:rPr>
          <w:rFonts w:cs="David" w:hint="cs"/>
          <w:b/>
          <w:bCs/>
          <w:color w:val="17365D"/>
          <w:sz w:val="24"/>
          <w:szCs w:val="24"/>
          <w:rtl/>
        </w:rPr>
        <w:t>בין השנים 1990-2004</w:t>
      </w:r>
      <w:r w:rsidR="000D330B">
        <w:rPr>
          <w:rFonts w:cs="David" w:hint="cs"/>
          <w:color w:val="17365D"/>
          <w:sz w:val="24"/>
          <w:szCs w:val="24"/>
          <w:rtl/>
        </w:rPr>
        <w:t xml:space="preserve"> </w:t>
      </w:r>
      <w:r w:rsidR="000D330B">
        <w:rPr>
          <w:rFonts w:cs="David"/>
          <w:color w:val="17365D"/>
          <w:sz w:val="24"/>
          <w:szCs w:val="24"/>
        </w:rPr>
        <w:t>(APC</w:t>
      </w:r>
      <w:r w:rsidR="000D330B" w:rsidRPr="00E80DBA">
        <w:rPr>
          <w:rFonts w:cs="David"/>
          <w:color w:val="17365D"/>
          <w:sz w:val="24"/>
          <w:szCs w:val="24"/>
          <w:vertAlign w:val="subscript"/>
        </w:rPr>
        <w:t>1990-2004</w:t>
      </w:r>
      <w:r w:rsidR="000D330B">
        <w:rPr>
          <w:rFonts w:cs="David"/>
          <w:color w:val="17365D"/>
          <w:sz w:val="24"/>
          <w:szCs w:val="24"/>
        </w:rPr>
        <w:t>=+</w:t>
      </w:r>
      <w:r w:rsidR="00E80DBA">
        <w:rPr>
          <w:rFonts w:cs="David"/>
          <w:color w:val="17365D"/>
          <w:sz w:val="24"/>
          <w:szCs w:val="24"/>
        </w:rPr>
        <w:t>1.9%)</w:t>
      </w:r>
      <w:r w:rsidR="00E80DBA">
        <w:rPr>
          <w:rFonts w:cs="David" w:hint="cs"/>
          <w:color w:val="17365D"/>
          <w:sz w:val="24"/>
          <w:szCs w:val="24"/>
          <w:rtl/>
        </w:rPr>
        <w:t xml:space="preserve"> </w:t>
      </w:r>
      <w:r w:rsidR="00F212FE" w:rsidRPr="000F1A0F">
        <w:rPr>
          <w:rFonts w:cs="David" w:hint="cs"/>
          <w:b/>
          <w:bCs/>
          <w:color w:val="17365D"/>
          <w:sz w:val="24"/>
          <w:szCs w:val="24"/>
          <w:rtl/>
        </w:rPr>
        <w:t>ו</w:t>
      </w:r>
      <w:r w:rsidR="00E80DBA" w:rsidRPr="000F1A0F">
        <w:rPr>
          <w:rFonts w:cs="David" w:hint="cs"/>
          <w:b/>
          <w:bCs/>
          <w:color w:val="17365D"/>
          <w:sz w:val="24"/>
          <w:szCs w:val="24"/>
          <w:rtl/>
        </w:rPr>
        <w:t>לאחריה חלה ירידה מובהקת בהיארעות בשיעור שנתי של 3.5%</w:t>
      </w:r>
      <w:r w:rsidR="00E80DBA">
        <w:rPr>
          <w:rFonts w:cs="David" w:hint="cs"/>
          <w:color w:val="17365D"/>
          <w:sz w:val="24"/>
          <w:szCs w:val="24"/>
          <w:rtl/>
        </w:rPr>
        <w:t xml:space="preserve"> </w:t>
      </w:r>
      <w:r w:rsidR="00E80DBA">
        <w:rPr>
          <w:rFonts w:cs="David"/>
          <w:color w:val="17365D"/>
          <w:sz w:val="24"/>
          <w:szCs w:val="24"/>
        </w:rPr>
        <w:t>(APC</w:t>
      </w:r>
      <w:r w:rsidR="00E80DBA">
        <w:rPr>
          <w:rFonts w:cs="David"/>
          <w:color w:val="17365D"/>
          <w:sz w:val="24"/>
          <w:szCs w:val="24"/>
          <w:vertAlign w:val="subscript"/>
        </w:rPr>
        <w:t>2004</w:t>
      </w:r>
      <w:r w:rsidR="00E80DBA" w:rsidRPr="000D330B">
        <w:rPr>
          <w:rFonts w:cs="David"/>
          <w:color w:val="17365D"/>
          <w:sz w:val="24"/>
          <w:szCs w:val="24"/>
          <w:vertAlign w:val="subscript"/>
        </w:rPr>
        <w:t>-2014</w:t>
      </w:r>
      <w:r w:rsidR="00E80DBA">
        <w:rPr>
          <w:rFonts w:cs="David"/>
          <w:color w:val="17365D"/>
          <w:sz w:val="24"/>
          <w:szCs w:val="24"/>
        </w:rPr>
        <w:t>=-3.5%)</w:t>
      </w:r>
      <w:r w:rsidR="00E80DBA">
        <w:rPr>
          <w:rFonts w:cs="David" w:hint="cs"/>
          <w:color w:val="17365D"/>
          <w:sz w:val="24"/>
          <w:szCs w:val="24"/>
          <w:rtl/>
        </w:rPr>
        <w:t xml:space="preserve"> (תרשים 8). </w:t>
      </w:r>
    </w:p>
    <w:p w:rsidR="003804A6" w:rsidRDefault="0087235B" w:rsidP="00F212FE">
      <w:pPr>
        <w:pStyle w:val="ad"/>
        <w:ind w:left="43"/>
        <w:jc w:val="both"/>
        <w:rPr>
          <w:rFonts w:cs="David"/>
          <w:color w:val="17365D"/>
          <w:sz w:val="24"/>
          <w:szCs w:val="24"/>
          <w:rtl/>
        </w:rPr>
      </w:pPr>
      <w:r w:rsidRPr="000F1A0F">
        <w:rPr>
          <w:rFonts w:cs="David" w:hint="cs"/>
          <w:b/>
          <w:bCs/>
          <w:color w:val="17365D"/>
          <w:sz w:val="24"/>
          <w:szCs w:val="24"/>
          <w:rtl/>
        </w:rPr>
        <w:t>בגברים ערבים ההיארעות עלת</w:t>
      </w:r>
      <w:r w:rsidR="00F22136" w:rsidRPr="000F1A0F">
        <w:rPr>
          <w:rFonts w:cs="David" w:hint="cs"/>
          <w:b/>
          <w:bCs/>
          <w:color w:val="17365D"/>
          <w:sz w:val="24"/>
          <w:szCs w:val="24"/>
          <w:rtl/>
        </w:rPr>
        <w:t>ה במובהק</w:t>
      </w:r>
      <w:r w:rsidRPr="000F1A0F">
        <w:rPr>
          <w:rFonts w:cs="David" w:hint="cs"/>
          <w:b/>
          <w:bCs/>
          <w:color w:val="17365D"/>
          <w:sz w:val="24"/>
          <w:szCs w:val="24"/>
          <w:rtl/>
        </w:rPr>
        <w:t xml:space="preserve"> בשיעור שנתי של 4.6% בין השנים 1990-2008</w:t>
      </w:r>
      <w:r>
        <w:rPr>
          <w:rFonts w:cs="David" w:hint="cs"/>
          <w:color w:val="17365D"/>
          <w:sz w:val="24"/>
          <w:szCs w:val="24"/>
          <w:rtl/>
        </w:rPr>
        <w:t xml:space="preserve"> </w:t>
      </w:r>
      <w:r>
        <w:rPr>
          <w:rFonts w:cs="David"/>
          <w:color w:val="17365D"/>
          <w:sz w:val="24"/>
          <w:szCs w:val="24"/>
        </w:rPr>
        <w:t>(APC</w:t>
      </w:r>
      <w:r w:rsidRPr="0087235B">
        <w:rPr>
          <w:rFonts w:cs="David"/>
          <w:color w:val="17365D"/>
          <w:sz w:val="24"/>
          <w:szCs w:val="24"/>
          <w:vertAlign w:val="subscript"/>
        </w:rPr>
        <w:t>1990-2008</w:t>
      </w:r>
      <w:r>
        <w:rPr>
          <w:rFonts w:cs="David"/>
          <w:color w:val="17365D"/>
          <w:sz w:val="24"/>
          <w:szCs w:val="24"/>
        </w:rPr>
        <w:t>=+4.6%)</w:t>
      </w:r>
      <w:r>
        <w:rPr>
          <w:rFonts w:cs="David" w:hint="cs"/>
          <w:color w:val="17365D"/>
          <w:sz w:val="24"/>
          <w:szCs w:val="24"/>
          <w:rtl/>
        </w:rPr>
        <w:t xml:space="preserve"> </w:t>
      </w:r>
      <w:r w:rsidRPr="000F1A0F">
        <w:rPr>
          <w:rFonts w:cs="David" w:hint="cs"/>
          <w:b/>
          <w:bCs/>
          <w:color w:val="17365D"/>
          <w:sz w:val="24"/>
          <w:szCs w:val="24"/>
          <w:rtl/>
        </w:rPr>
        <w:t>ולאחר מכן התייצבה</w:t>
      </w:r>
      <w:r>
        <w:rPr>
          <w:rFonts w:cs="David" w:hint="cs"/>
          <w:color w:val="17365D"/>
          <w:sz w:val="24"/>
          <w:szCs w:val="24"/>
          <w:rtl/>
        </w:rPr>
        <w:t xml:space="preserve">. </w:t>
      </w:r>
      <w:r w:rsidRPr="000F1A0F">
        <w:rPr>
          <w:rFonts w:cs="David" w:hint="cs"/>
          <w:b/>
          <w:bCs/>
          <w:color w:val="17365D"/>
          <w:sz w:val="24"/>
          <w:szCs w:val="24"/>
          <w:rtl/>
        </w:rPr>
        <w:t>בנשים ערביות</w:t>
      </w:r>
      <w:r>
        <w:rPr>
          <w:rFonts w:cs="David" w:hint="cs"/>
          <w:color w:val="17365D"/>
          <w:sz w:val="24"/>
          <w:szCs w:val="24"/>
          <w:rtl/>
        </w:rPr>
        <w:t xml:space="preserve"> המגמה הייתה דומה: </w:t>
      </w:r>
      <w:r w:rsidRPr="000F1A0F">
        <w:rPr>
          <w:rFonts w:cs="David" w:hint="cs"/>
          <w:b/>
          <w:bCs/>
          <w:color w:val="17365D"/>
          <w:sz w:val="24"/>
          <w:szCs w:val="24"/>
          <w:rtl/>
        </w:rPr>
        <w:t xml:space="preserve">עלייה מובהקת בהיארעות </w:t>
      </w:r>
      <w:r w:rsidRPr="000F1A0F">
        <w:rPr>
          <w:rFonts w:cs="David" w:hint="cs"/>
          <w:color w:val="17365D"/>
          <w:sz w:val="24"/>
          <w:szCs w:val="24"/>
          <w:rtl/>
        </w:rPr>
        <w:t>בשיעור שנתי</w:t>
      </w:r>
      <w:r w:rsidR="00F22136" w:rsidRPr="000F1A0F">
        <w:rPr>
          <w:rFonts w:cs="David" w:hint="cs"/>
          <w:color w:val="17365D"/>
          <w:sz w:val="24"/>
          <w:szCs w:val="24"/>
          <w:rtl/>
        </w:rPr>
        <w:t xml:space="preserve"> </w:t>
      </w:r>
      <w:r w:rsidRPr="000F1A0F">
        <w:rPr>
          <w:rFonts w:cs="David" w:hint="cs"/>
          <w:color w:val="17365D"/>
          <w:sz w:val="24"/>
          <w:szCs w:val="24"/>
          <w:rtl/>
        </w:rPr>
        <w:t>של 6% בין 1990-2005</w:t>
      </w:r>
      <w:r>
        <w:rPr>
          <w:rFonts w:cs="David" w:hint="cs"/>
          <w:color w:val="17365D"/>
          <w:sz w:val="24"/>
          <w:szCs w:val="24"/>
          <w:rtl/>
        </w:rPr>
        <w:t xml:space="preserve"> </w:t>
      </w:r>
      <w:r>
        <w:rPr>
          <w:rFonts w:cs="David"/>
          <w:color w:val="17365D"/>
          <w:sz w:val="24"/>
          <w:szCs w:val="24"/>
        </w:rPr>
        <w:t>(APC</w:t>
      </w:r>
      <w:r w:rsidRPr="0087235B">
        <w:rPr>
          <w:rFonts w:cs="David"/>
          <w:color w:val="17365D"/>
          <w:sz w:val="24"/>
          <w:szCs w:val="24"/>
          <w:vertAlign w:val="subscript"/>
        </w:rPr>
        <w:t>1990-2005</w:t>
      </w:r>
      <w:r>
        <w:rPr>
          <w:rFonts w:cs="David"/>
          <w:color w:val="17365D"/>
          <w:sz w:val="24"/>
          <w:szCs w:val="24"/>
        </w:rPr>
        <w:t>=+6.0%)</w:t>
      </w:r>
      <w:r>
        <w:rPr>
          <w:rFonts w:cs="David" w:hint="cs"/>
          <w:color w:val="17365D"/>
          <w:sz w:val="24"/>
          <w:szCs w:val="24"/>
          <w:rtl/>
        </w:rPr>
        <w:t xml:space="preserve"> </w:t>
      </w:r>
      <w:r w:rsidRPr="000F1A0F">
        <w:rPr>
          <w:rFonts w:cs="David" w:hint="cs"/>
          <w:b/>
          <w:bCs/>
          <w:color w:val="17365D"/>
          <w:sz w:val="24"/>
          <w:szCs w:val="24"/>
          <w:rtl/>
        </w:rPr>
        <w:t>ולאחר מכן התייצבות</w:t>
      </w:r>
      <w:r>
        <w:rPr>
          <w:rFonts w:cs="David" w:hint="cs"/>
          <w:color w:val="17365D"/>
          <w:sz w:val="24"/>
          <w:szCs w:val="24"/>
          <w:rtl/>
        </w:rPr>
        <w:t xml:space="preserve"> (</w:t>
      </w:r>
      <w:r w:rsidR="003804A6" w:rsidRPr="000D330B">
        <w:rPr>
          <w:rFonts w:cs="David" w:hint="cs"/>
          <w:color w:val="17365D"/>
          <w:sz w:val="24"/>
          <w:szCs w:val="24"/>
          <w:rtl/>
        </w:rPr>
        <w:t xml:space="preserve">תרשים </w:t>
      </w:r>
      <w:r w:rsidR="005E500E" w:rsidRPr="000D330B">
        <w:rPr>
          <w:rFonts w:cs="David" w:hint="cs"/>
          <w:color w:val="17365D"/>
          <w:sz w:val="24"/>
          <w:szCs w:val="24"/>
          <w:rtl/>
        </w:rPr>
        <w:t>9</w:t>
      </w:r>
      <w:r w:rsidR="003804A6" w:rsidRPr="000D330B">
        <w:rPr>
          <w:rFonts w:cs="David" w:hint="cs"/>
          <w:color w:val="17365D"/>
          <w:sz w:val="24"/>
          <w:szCs w:val="24"/>
          <w:rtl/>
        </w:rPr>
        <w:t>).</w:t>
      </w:r>
      <w:r w:rsidR="003804A6" w:rsidRPr="000B49DB">
        <w:rPr>
          <w:rFonts w:cs="David" w:hint="cs"/>
          <w:color w:val="17365D"/>
          <w:sz w:val="24"/>
          <w:szCs w:val="24"/>
          <w:rtl/>
        </w:rPr>
        <w:t xml:space="preserve"> </w:t>
      </w:r>
      <w:r w:rsidR="00F22136">
        <w:rPr>
          <w:rFonts w:cs="David" w:hint="cs"/>
          <w:color w:val="17365D"/>
          <w:sz w:val="24"/>
          <w:szCs w:val="24"/>
          <w:rtl/>
        </w:rPr>
        <w:t xml:space="preserve"> </w:t>
      </w:r>
    </w:p>
    <w:p w:rsidR="00F22136" w:rsidRDefault="00F22136">
      <w:pPr>
        <w:bidi w:val="0"/>
        <w:spacing w:after="0" w:line="240" w:lineRule="auto"/>
        <w:rPr>
          <w:rFonts w:cs="David"/>
          <w:color w:val="17365D"/>
          <w:sz w:val="20"/>
          <w:szCs w:val="20"/>
          <w:rtl/>
        </w:rPr>
      </w:pPr>
    </w:p>
    <w:p w:rsidR="00A062A5" w:rsidRDefault="00A062A5">
      <w:pPr>
        <w:bidi w:val="0"/>
        <w:spacing w:after="0" w:line="240" w:lineRule="auto"/>
        <w:rPr>
          <w:rFonts w:cs="David"/>
          <w:color w:val="17365D"/>
          <w:sz w:val="20"/>
          <w:szCs w:val="20"/>
        </w:rPr>
      </w:pPr>
      <w:r>
        <w:rPr>
          <w:rFonts w:cs="David"/>
          <w:color w:val="17365D"/>
          <w:sz w:val="20"/>
          <w:szCs w:val="20"/>
          <w:rtl/>
        </w:rPr>
        <w:br w:type="page"/>
      </w:r>
    </w:p>
    <w:p w:rsidR="003804A6" w:rsidRDefault="005E500E" w:rsidP="00E9629E">
      <w:pPr>
        <w:pStyle w:val="ad"/>
        <w:spacing w:after="0"/>
        <w:ind w:left="43"/>
        <w:jc w:val="both"/>
        <w:rPr>
          <w:rFonts w:cs="David"/>
          <w:b/>
          <w:bCs/>
          <w:color w:val="17365D"/>
          <w:sz w:val="28"/>
          <w:szCs w:val="28"/>
        </w:rPr>
      </w:pPr>
      <w:r w:rsidRPr="000B49DB">
        <w:rPr>
          <w:rFonts w:cs="David" w:hint="cs"/>
          <w:color w:val="17365D"/>
          <w:sz w:val="20"/>
          <w:szCs w:val="20"/>
          <w:rtl/>
        </w:rPr>
        <w:t xml:space="preserve">תרשים </w:t>
      </w:r>
      <w:r>
        <w:rPr>
          <w:rFonts w:cs="David" w:hint="cs"/>
          <w:color w:val="17365D"/>
          <w:sz w:val="20"/>
          <w:szCs w:val="20"/>
          <w:rtl/>
        </w:rPr>
        <w:t>8</w:t>
      </w:r>
      <w:r w:rsidRPr="000B49DB">
        <w:rPr>
          <w:rFonts w:cs="David" w:hint="cs"/>
          <w:color w:val="17365D"/>
          <w:sz w:val="20"/>
          <w:szCs w:val="20"/>
          <w:rtl/>
        </w:rPr>
        <w:t xml:space="preserve">: </w:t>
      </w:r>
      <w:r w:rsidRPr="000B49DB">
        <w:rPr>
          <w:rFonts w:cs="David" w:hint="cs"/>
          <w:b/>
          <w:bCs/>
          <w:color w:val="17365D"/>
          <w:sz w:val="20"/>
          <w:szCs w:val="20"/>
          <w:rtl/>
        </w:rPr>
        <w:t xml:space="preserve">מגמות </w:t>
      </w:r>
      <w:r w:rsidR="00E9629E">
        <w:rPr>
          <w:rFonts w:cs="David" w:hint="cs"/>
          <w:b/>
          <w:bCs/>
          <w:color w:val="17365D"/>
          <w:sz w:val="20"/>
          <w:szCs w:val="20"/>
          <w:rtl/>
        </w:rPr>
        <w:t xml:space="preserve">עתיות </w:t>
      </w:r>
      <w:r w:rsidRPr="000B49DB">
        <w:rPr>
          <w:rFonts w:cs="David" w:hint="cs"/>
          <w:b/>
          <w:bCs/>
          <w:color w:val="17365D"/>
          <w:sz w:val="20"/>
          <w:szCs w:val="20"/>
          <w:rtl/>
        </w:rPr>
        <w:t xml:space="preserve">בהיארעות גידולים </w:t>
      </w:r>
      <w:r>
        <w:rPr>
          <w:rFonts w:cs="David" w:hint="cs"/>
          <w:b/>
          <w:bCs/>
          <w:color w:val="17365D"/>
          <w:sz w:val="20"/>
          <w:szCs w:val="20"/>
          <w:rtl/>
        </w:rPr>
        <w:t>שפיר</w:t>
      </w:r>
      <w:r w:rsidRPr="000B49DB">
        <w:rPr>
          <w:rFonts w:cs="David" w:hint="cs"/>
          <w:b/>
          <w:bCs/>
          <w:color w:val="17365D"/>
          <w:sz w:val="20"/>
          <w:szCs w:val="20"/>
          <w:rtl/>
        </w:rPr>
        <w:t>ים</w:t>
      </w:r>
      <w:r w:rsidR="004C0534">
        <w:rPr>
          <w:rFonts w:cs="David" w:hint="cs"/>
          <w:b/>
          <w:bCs/>
          <w:color w:val="17365D"/>
          <w:sz w:val="20"/>
          <w:szCs w:val="20"/>
          <w:rtl/>
        </w:rPr>
        <w:t>/התנהגות לא ברורה</w:t>
      </w:r>
      <w:r w:rsidRPr="000B49DB">
        <w:rPr>
          <w:rFonts w:cs="David" w:hint="cs"/>
          <w:b/>
          <w:bCs/>
          <w:color w:val="17365D"/>
          <w:sz w:val="20"/>
          <w:szCs w:val="20"/>
          <w:rtl/>
        </w:rPr>
        <w:t xml:space="preserve"> של המח ומערכת העצבים המרכזית ב1990-2014 בישראל - יהודים</w:t>
      </w:r>
    </w:p>
    <w:p w:rsidR="00F53462" w:rsidRDefault="005E500E" w:rsidP="006E2770">
      <w:pPr>
        <w:pStyle w:val="ad"/>
        <w:spacing w:after="0"/>
        <w:ind w:left="43"/>
        <w:jc w:val="both"/>
        <w:rPr>
          <w:rFonts w:cs="David"/>
          <w:b/>
          <w:bCs/>
          <w:color w:val="17365D"/>
          <w:sz w:val="28"/>
          <w:szCs w:val="28"/>
        </w:rPr>
      </w:pPr>
      <w:r>
        <w:rPr>
          <w:noProof/>
        </w:rPr>
        <w:drawing>
          <wp:inline distT="0" distB="0" distL="0" distR="0" wp14:anchorId="0BC5D0CD" wp14:editId="3EE81161">
            <wp:extent cx="5372100" cy="3093720"/>
            <wp:effectExtent l="0" t="0" r="1905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E500E" w:rsidRDefault="005E500E" w:rsidP="006E2770">
      <w:pPr>
        <w:pStyle w:val="ad"/>
        <w:spacing w:after="0"/>
        <w:ind w:left="43"/>
        <w:jc w:val="both"/>
        <w:rPr>
          <w:rFonts w:cs="David"/>
          <w:color w:val="17365D"/>
          <w:sz w:val="20"/>
          <w:szCs w:val="20"/>
          <w:rtl/>
        </w:rPr>
      </w:pPr>
    </w:p>
    <w:p w:rsidR="00F53462" w:rsidRDefault="005E500E" w:rsidP="00E9629E">
      <w:pPr>
        <w:pStyle w:val="ad"/>
        <w:spacing w:after="0"/>
        <w:ind w:left="43"/>
        <w:jc w:val="both"/>
        <w:rPr>
          <w:rFonts w:cs="David"/>
          <w:color w:val="17365D"/>
          <w:sz w:val="24"/>
          <w:szCs w:val="24"/>
          <w:rtl/>
        </w:rPr>
      </w:pPr>
      <w:r w:rsidRPr="000B49DB">
        <w:rPr>
          <w:rFonts w:cs="David" w:hint="cs"/>
          <w:color w:val="17365D"/>
          <w:sz w:val="20"/>
          <w:szCs w:val="20"/>
          <w:rtl/>
        </w:rPr>
        <w:t xml:space="preserve">תרשים </w:t>
      </w:r>
      <w:r w:rsidR="00F22136">
        <w:rPr>
          <w:rFonts w:cs="David" w:hint="cs"/>
          <w:color w:val="17365D"/>
          <w:sz w:val="20"/>
          <w:szCs w:val="20"/>
          <w:rtl/>
        </w:rPr>
        <w:t>9</w:t>
      </w:r>
      <w:r w:rsidRPr="000B49DB">
        <w:rPr>
          <w:rFonts w:cs="David" w:hint="cs"/>
          <w:color w:val="17365D"/>
          <w:sz w:val="20"/>
          <w:szCs w:val="20"/>
          <w:rtl/>
        </w:rPr>
        <w:t xml:space="preserve">: </w:t>
      </w:r>
      <w:r w:rsidRPr="000B49DB">
        <w:rPr>
          <w:rFonts w:cs="David" w:hint="cs"/>
          <w:b/>
          <w:bCs/>
          <w:color w:val="17365D"/>
          <w:sz w:val="20"/>
          <w:szCs w:val="20"/>
          <w:rtl/>
        </w:rPr>
        <w:t xml:space="preserve">מגמות </w:t>
      </w:r>
      <w:r w:rsidR="00E9629E">
        <w:rPr>
          <w:rFonts w:cs="David" w:hint="cs"/>
          <w:b/>
          <w:bCs/>
          <w:color w:val="17365D"/>
          <w:sz w:val="20"/>
          <w:szCs w:val="20"/>
          <w:rtl/>
        </w:rPr>
        <w:t xml:space="preserve">עתיות </w:t>
      </w:r>
      <w:r w:rsidRPr="000B49DB">
        <w:rPr>
          <w:rFonts w:cs="David" w:hint="cs"/>
          <w:b/>
          <w:bCs/>
          <w:color w:val="17365D"/>
          <w:sz w:val="20"/>
          <w:szCs w:val="20"/>
          <w:rtl/>
        </w:rPr>
        <w:t xml:space="preserve">בהיארעות גידולים </w:t>
      </w:r>
      <w:r>
        <w:rPr>
          <w:rFonts w:cs="David" w:hint="cs"/>
          <w:b/>
          <w:bCs/>
          <w:color w:val="17365D"/>
          <w:sz w:val="20"/>
          <w:szCs w:val="20"/>
          <w:rtl/>
        </w:rPr>
        <w:t>שפיר</w:t>
      </w:r>
      <w:r w:rsidRPr="000B49DB">
        <w:rPr>
          <w:rFonts w:cs="David" w:hint="cs"/>
          <w:b/>
          <w:bCs/>
          <w:color w:val="17365D"/>
          <w:sz w:val="20"/>
          <w:szCs w:val="20"/>
          <w:rtl/>
        </w:rPr>
        <w:t>ים</w:t>
      </w:r>
      <w:r w:rsidR="004C0534">
        <w:rPr>
          <w:rFonts w:cs="David" w:hint="cs"/>
          <w:b/>
          <w:bCs/>
          <w:color w:val="17365D"/>
          <w:sz w:val="20"/>
          <w:szCs w:val="20"/>
          <w:rtl/>
        </w:rPr>
        <w:t>/התנהגות לא ברורה</w:t>
      </w:r>
      <w:r w:rsidR="00E9629E">
        <w:rPr>
          <w:rFonts w:cs="David" w:hint="cs"/>
          <w:b/>
          <w:bCs/>
          <w:color w:val="17365D"/>
          <w:sz w:val="20"/>
          <w:szCs w:val="20"/>
          <w:rtl/>
        </w:rPr>
        <w:t xml:space="preserve"> </w:t>
      </w:r>
      <w:r w:rsidRPr="000B49DB">
        <w:rPr>
          <w:rFonts w:cs="David" w:hint="cs"/>
          <w:b/>
          <w:bCs/>
          <w:color w:val="17365D"/>
          <w:sz w:val="20"/>
          <w:szCs w:val="20"/>
          <w:rtl/>
        </w:rPr>
        <w:t xml:space="preserve">של המח ומערכת העצבים המרכזית ב1990-2014 בישראל </w:t>
      </w:r>
      <w:r>
        <w:rPr>
          <w:rFonts w:cs="David"/>
          <w:b/>
          <w:bCs/>
          <w:color w:val="17365D"/>
          <w:sz w:val="20"/>
          <w:szCs w:val="20"/>
          <w:rtl/>
        </w:rPr>
        <w:t>–</w:t>
      </w:r>
      <w:r w:rsidRPr="000B49DB">
        <w:rPr>
          <w:rFonts w:cs="David" w:hint="cs"/>
          <w:b/>
          <w:bCs/>
          <w:color w:val="17365D"/>
          <w:sz w:val="20"/>
          <w:szCs w:val="20"/>
          <w:rtl/>
        </w:rPr>
        <w:t xml:space="preserve"> </w:t>
      </w:r>
      <w:r>
        <w:rPr>
          <w:rFonts w:cs="David" w:hint="cs"/>
          <w:b/>
          <w:bCs/>
          <w:color w:val="17365D"/>
          <w:sz w:val="20"/>
          <w:szCs w:val="20"/>
          <w:rtl/>
        </w:rPr>
        <w:t>ערב</w:t>
      </w:r>
      <w:r w:rsidRPr="000B49DB">
        <w:rPr>
          <w:rFonts w:cs="David" w:hint="cs"/>
          <w:b/>
          <w:bCs/>
          <w:color w:val="17365D"/>
          <w:sz w:val="20"/>
          <w:szCs w:val="20"/>
          <w:rtl/>
        </w:rPr>
        <w:t>ים</w:t>
      </w:r>
    </w:p>
    <w:p w:rsidR="005E500E" w:rsidRDefault="005E500E" w:rsidP="005E500E">
      <w:pPr>
        <w:pStyle w:val="ad"/>
        <w:spacing w:after="0"/>
        <w:ind w:left="43"/>
        <w:jc w:val="both"/>
        <w:rPr>
          <w:rFonts w:cs="David"/>
          <w:color w:val="17365D"/>
          <w:sz w:val="24"/>
          <w:szCs w:val="24"/>
          <w:rtl/>
        </w:rPr>
      </w:pPr>
      <w:r>
        <w:rPr>
          <w:noProof/>
        </w:rPr>
        <w:drawing>
          <wp:inline distT="0" distB="0" distL="0" distR="0" wp14:anchorId="69A849A1" wp14:editId="781DA6E3">
            <wp:extent cx="5486400" cy="3585210"/>
            <wp:effectExtent l="0" t="0" r="19050" b="152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E500E" w:rsidRDefault="005E500E" w:rsidP="005E500E">
      <w:pPr>
        <w:pStyle w:val="ad"/>
        <w:spacing w:after="0"/>
        <w:ind w:left="43"/>
        <w:jc w:val="both"/>
        <w:rPr>
          <w:rFonts w:cs="David"/>
          <w:color w:val="17365D"/>
          <w:sz w:val="24"/>
          <w:szCs w:val="24"/>
          <w:rtl/>
        </w:rPr>
      </w:pPr>
    </w:p>
    <w:p w:rsidR="00F22136" w:rsidRDefault="00F22136" w:rsidP="00DC1092">
      <w:pPr>
        <w:pStyle w:val="ad"/>
        <w:spacing w:after="0"/>
        <w:ind w:left="43"/>
        <w:jc w:val="both"/>
        <w:rPr>
          <w:rFonts w:cs="David"/>
          <w:color w:val="17365D"/>
          <w:sz w:val="24"/>
          <w:szCs w:val="24"/>
          <w:rtl/>
        </w:rPr>
      </w:pPr>
      <w:r>
        <w:rPr>
          <w:rFonts w:cs="David" w:hint="cs"/>
          <w:color w:val="17365D"/>
          <w:sz w:val="24"/>
          <w:szCs w:val="24"/>
          <w:rtl/>
        </w:rPr>
        <w:t xml:space="preserve">המגמה העיתית של היארעות </w:t>
      </w:r>
      <w:proofErr w:type="spellStart"/>
      <w:r>
        <w:rPr>
          <w:rFonts w:cs="David" w:hint="cs"/>
          <w:color w:val="17365D"/>
          <w:sz w:val="24"/>
          <w:szCs w:val="24"/>
          <w:rtl/>
        </w:rPr>
        <w:t>מנינגיומה</w:t>
      </w:r>
      <w:proofErr w:type="spellEnd"/>
      <w:r>
        <w:rPr>
          <w:rFonts w:cs="David" w:hint="cs"/>
          <w:color w:val="17365D"/>
          <w:sz w:val="24"/>
          <w:szCs w:val="24"/>
          <w:rtl/>
        </w:rPr>
        <w:t xml:space="preserve"> </w:t>
      </w:r>
      <w:r w:rsidR="007150A5">
        <w:rPr>
          <w:rFonts w:cs="David" w:hint="cs"/>
          <w:color w:val="17365D"/>
          <w:sz w:val="24"/>
          <w:szCs w:val="24"/>
          <w:rtl/>
        </w:rPr>
        <w:t>שפירה</w:t>
      </w:r>
      <w:r w:rsidR="00A062A5">
        <w:rPr>
          <w:rFonts w:cs="David" w:hint="cs"/>
          <w:color w:val="17365D"/>
          <w:sz w:val="24"/>
          <w:szCs w:val="24"/>
          <w:rtl/>
        </w:rPr>
        <w:t>/בעלת התנהגות לא ברורה</w:t>
      </w:r>
      <w:r>
        <w:rPr>
          <w:rFonts w:cs="David" w:hint="cs"/>
          <w:color w:val="17365D"/>
          <w:sz w:val="24"/>
          <w:szCs w:val="24"/>
          <w:rtl/>
        </w:rPr>
        <w:t>,</w:t>
      </w:r>
      <w:r w:rsidR="007150A5">
        <w:rPr>
          <w:rFonts w:cs="David" w:hint="cs"/>
          <w:color w:val="17365D"/>
          <w:sz w:val="24"/>
          <w:szCs w:val="24"/>
          <w:rtl/>
        </w:rPr>
        <w:t xml:space="preserve"> גידול שהיווה כשני שליש מכלל גידולי המח ה</w:t>
      </w:r>
      <w:r w:rsidR="004C0534">
        <w:rPr>
          <w:rFonts w:cs="David" w:hint="cs"/>
          <w:color w:val="17365D"/>
          <w:sz w:val="24"/>
          <w:szCs w:val="24"/>
          <w:rtl/>
        </w:rPr>
        <w:t>שפירים/בעלי התנהגות לא ברורה</w:t>
      </w:r>
      <w:r w:rsidR="00E9629E">
        <w:rPr>
          <w:rFonts w:cs="David" w:hint="cs"/>
          <w:color w:val="17365D"/>
          <w:sz w:val="24"/>
          <w:szCs w:val="24"/>
          <w:rtl/>
        </w:rPr>
        <w:t>, נבחנה בנפרד</w:t>
      </w:r>
      <w:r w:rsidR="007150A5">
        <w:rPr>
          <w:rFonts w:cs="David" w:hint="cs"/>
          <w:color w:val="17365D"/>
          <w:sz w:val="24"/>
          <w:szCs w:val="24"/>
          <w:rtl/>
        </w:rPr>
        <w:t xml:space="preserve">. בגברים יהודים נצפתה יציבות בהיארעות בשנים 1990-2004, ולאחר מכן ירידה מובהקת בשיעור שנתי של 4% </w:t>
      </w:r>
      <w:r w:rsidR="007150A5">
        <w:rPr>
          <w:rFonts w:cs="David"/>
          <w:color w:val="17365D"/>
          <w:sz w:val="24"/>
          <w:szCs w:val="24"/>
        </w:rPr>
        <w:t>(APC</w:t>
      </w:r>
      <w:r w:rsidR="007150A5" w:rsidRPr="007150A5">
        <w:rPr>
          <w:rFonts w:cs="David"/>
          <w:color w:val="17365D"/>
          <w:sz w:val="24"/>
          <w:szCs w:val="24"/>
          <w:vertAlign w:val="subscript"/>
        </w:rPr>
        <w:t>2004-2014</w:t>
      </w:r>
      <w:r w:rsidR="007150A5">
        <w:rPr>
          <w:rFonts w:cs="David"/>
          <w:color w:val="17365D"/>
          <w:sz w:val="24"/>
          <w:szCs w:val="24"/>
        </w:rPr>
        <w:t>=-4.0%)</w:t>
      </w:r>
      <w:r w:rsidR="007150A5">
        <w:rPr>
          <w:rFonts w:cs="David" w:hint="cs"/>
          <w:color w:val="17365D"/>
          <w:sz w:val="24"/>
          <w:szCs w:val="24"/>
          <w:rtl/>
        </w:rPr>
        <w:t>. בנשים יהודיות</w:t>
      </w:r>
      <w:r>
        <w:rPr>
          <w:rFonts w:cs="David" w:hint="cs"/>
          <w:color w:val="17365D"/>
          <w:sz w:val="24"/>
          <w:szCs w:val="24"/>
          <w:rtl/>
        </w:rPr>
        <w:t xml:space="preserve"> </w:t>
      </w:r>
      <w:r w:rsidR="007150A5">
        <w:rPr>
          <w:rFonts w:cs="David" w:hint="cs"/>
          <w:color w:val="17365D"/>
          <w:sz w:val="24"/>
          <w:szCs w:val="24"/>
          <w:rtl/>
        </w:rPr>
        <w:t xml:space="preserve">נצפתה עלייה מובהקת בהיארעות בשיעור שנתי של כ-3% בין 1990 ו-2004 </w:t>
      </w:r>
      <w:r w:rsidR="007150A5">
        <w:rPr>
          <w:rFonts w:cs="David"/>
          <w:color w:val="17365D"/>
          <w:sz w:val="24"/>
          <w:szCs w:val="24"/>
        </w:rPr>
        <w:t>(APC</w:t>
      </w:r>
      <w:r w:rsidR="007150A5" w:rsidRPr="007150A5">
        <w:rPr>
          <w:rFonts w:cs="David"/>
          <w:color w:val="17365D"/>
          <w:sz w:val="24"/>
          <w:szCs w:val="24"/>
          <w:vertAlign w:val="subscript"/>
        </w:rPr>
        <w:t>1990-2004</w:t>
      </w:r>
      <w:r w:rsidR="007150A5">
        <w:rPr>
          <w:rFonts w:cs="David"/>
          <w:color w:val="17365D"/>
          <w:sz w:val="24"/>
          <w:szCs w:val="24"/>
        </w:rPr>
        <w:t>=+2.9%)</w:t>
      </w:r>
      <w:r w:rsidR="007150A5">
        <w:rPr>
          <w:rFonts w:cs="David" w:hint="cs"/>
          <w:color w:val="17365D"/>
          <w:sz w:val="24"/>
          <w:szCs w:val="24"/>
          <w:rtl/>
        </w:rPr>
        <w:t xml:space="preserve">, ולאחר מכן ירידה מובהקת בשיעור שנתי של כ-3% </w:t>
      </w:r>
      <w:r w:rsidR="007150A5">
        <w:rPr>
          <w:rFonts w:cs="David"/>
          <w:color w:val="17365D"/>
          <w:sz w:val="24"/>
          <w:szCs w:val="24"/>
        </w:rPr>
        <w:t>(APC</w:t>
      </w:r>
      <w:r w:rsidR="007150A5" w:rsidRPr="007150A5">
        <w:rPr>
          <w:rFonts w:cs="David"/>
          <w:color w:val="17365D"/>
          <w:sz w:val="24"/>
          <w:szCs w:val="24"/>
          <w:vertAlign w:val="subscript"/>
        </w:rPr>
        <w:t>2004-2014</w:t>
      </w:r>
      <w:r w:rsidR="007150A5">
        <w:rPr>
          <w:rFonts w:cs="David"/>
          <w:color w:val="17365D"/>
          <w:sz w:val="24"/>
          <w:szCs w:val="24"/>
        </w:rPr>
        <w:t>=-3.3%)</w:t>
      </w:r>
      <w:r w:rsidR="007150A5">
        <w:rPr>
          <w:rFonts w:cs="David" w:hint="cs"/>
          <w:color w:val="17365D"/>
          <w:sz w:val="24"/>
          <w:szCs w:val="24"/>
          <w:rtl/>
        </w:rPr>
        <w:t>.</w:t>
      </w:r>
    </w:p>
    <w:p w:rsidR="007150A5" w:rsidRDefault="007150A5" w:rsidP="00DC1092">
      <w:pPr>
        <w:pStyle w:val="ad"/>
        <w:spacing w:after="0"/>
        <w:ind w:left="43"/>
        <w:jc w:val="both"/>
        <w:rPr>
          <w:rFonts w:cs="David"/>
          <w:color w:val="17365D"/>
          <w:sz w:val="24"/>
          <w:szCs w:val="24"/>
          <w:rtl/>
        </w:rPr>
      </w:pPr>
      <w:r>
        <w:rPr>
          <w:rFonts w:cs="David" w:hint="cs"/>
          <w:color w:val="17365D"/>
          <w:sz w:val="24"/>
          <w:szCs w:val="24"/>
          <w:rtl/>
        </w:rPr>
        <w:t xml:space="preserve">בגברים ערבים נצפתה עלייה מובהקת בשיעור שנתי של כ-8% בין 1990 ו-2008  </w:t>
      </w:r>
      <w:r>
        <w:rPr>
          <w:rFonts w:cs="David"/>
          <w:color w:val="17365D"/>
          <w:sz w:val="24"/>
          <w:szCs w:val="24"/>
        </w:rPr>
        <w:t>(APC</w:t>
      </w:r>
      <w:r w:rsidRPr="007150A5">
        <w:rPr>
          <w:rFonts w:cs="David"/>
          <w:color w:val="17365D"/>
          <w:sz w:val="24"/>
          <w:szCs w:val="24"/>
          <w:vertAlign w:val="subscript"/>
        </w:rPr>
        <w:t>1990-2008</w:t>
      </w:r>
      <w:r>
        <w:rPr>
          <w:rFonts w:cs="David"/>
          <w:color w:val="17365D"/>
          <w:sz w:val="24"/>
          <w:szCs w:val="24"/>
        </w:rPr>
        <w:t>=+8.2%)</w:t>
      </w:r>
      <w:r>
        <w:rPr>
          <w:rFonts w:cs="David" w:hint="cs"/>
          <w:color w:val="17365D"/>
          <w:sz w:val="24"/>
          <w:szCs w:val="24"/>
          <w:rtl/>
        </w:rPr>
        <w:t xml:space="preserve">. מ-2008 נצפתה ירידה מובהקת בשיעור שנתי של כ-10% </w:t>
      </w:r>
      <w:r>
        <w:rPr>
          <w:rFonts w:cs="David"/>
          <w:color w:val="17365D"/>
          <w:sz w:val="24"/>
          <w:szCs w:val="24"/>
        </w:rPr>
        <w:t>(APC</w:t>
      </w:r>
      <w:r w:rsidRPr="007150A5">
        <w:rPr>
          <w:rFonts w:cs="David"/>
          <w:color w:val="17365D"/>
          <w:sz w:val="24"/>
          <w:szCs w:val="24"/>
          <w:vertAlign w:val="subscript"/>
        </w:rPr>
        <w:t>2008-2014</w:t>
      </w:r>
      <w:r>
        <w:rPr>
          <w:rFonts w:cs="David"/>
          <w:color w:val="17365D"/>
          <w:sz w:val="24"/>
          <w:szCs w:val="24"/>
        </w:rPr>
        <w:t>=-10.4%)</w:t>
      </w:r>
      <w:r>
        <w:rPr>
          <w:rFonts w:cs="David" w:hint="cs"/>
          <w:color w:val="17365D"/>
          <w:sz w:val="24"/>
          <w:szCs w:val="24"/>
          <w:rtl/>
        </w:rPr>
        <w:t xml:space="preserve">. בנשים ערביות נצפתה </w:t>
      </w:r>
      <w:r w:rsidR="00C84C8B">
        <w:rPr>
          <w:rFonts w:cs="David" w:hint="cs"/>
          <w:color w:val="17365D"/>
          <w:sz w:val="24"/>
          <w:szCs w:val="24"/>
          <w:rtl/>
        </w:rPr>
        <w:t xml:space="preserve">עלייה מובהקת בהיארעות בשיעור שנתי של כ-7% בין 1990 ו-2005 </w:t>
      </w:r>
      <w:r w:rsidR="00C84C8B">
        <w:rPr>
          <w:rFonts w:cs="David"/>
          <w:color w:val="17365D"/>
          <w:sz w:val="24"/>
          <w:szCs w:val="24"/>
        </w:rPr>
        <w:t>(APC</w:t>
      </w:r>
      <w:r w:rsidR="00C84C8B">
        <w:rPr>
          <w:rFonts w:cs="David"/>
          <w:color w:val="17365D"/>
          <w:sz w:val="24"/>
          <w:szCs w:val="24"/>
          <w:vertAlign w:val="subscript"/>
        </w:rPr>
        <w:t>1990</w:t>
      </w:r>
      <w:r w:rsidR="00C84C8B" w:rsidRPr="007150A5">
        <w:rPr>
          <w:rFonts w:cs="David"/>
          <w:color w:val="17365D"/>
          <w:sz w:val="24"/>
          <w:szCs w:val="24"/>
          <w:vertAlign w:val="subscript"/>
        </w:rPr>
        <w:t>-2</w:t>
      </w:r>
      <w:r w:rsidR="00C84C8B" w:rsidRPr="00C84C8B">
        <w:rPr>
          <w:rFonts w:cs="David"/>
          <w:color w:val="17365D"/>
          <w:sz w:val="24"/>
          <w:szCs w:val="24"/>
          <w:vertAlign w:val="subscript"/>
        </w:rPr>
        <w:t>005</w:t>
      </w:r>
      <w:r w:rsidR="00C84C8B">
        <w:rPr>
          <w:rFonts w:cs="David"/>
          <w:color w:val="17365D"/>
          <w:sz w:val="24"/>
          <w:szCs w:val="24"/>
        </w:rPr>
        <w:t>=-3.3%)</w:t>
      </w:r>
      <w:r w:rsidR="00C84C8B">
        <w:rPr>
          <w:rFonts w:cs="David" w:hint="cs"/>
          <w:color w:val="17365D"/>
          <w:sz w:val="24"/>
          <w:szCs w:val="24"/>
          <w:rtl/>
        </w:rPr>
        <w:t>, ולאחר מכן יציבות.</w:t>
      </w:r>
    </w:p>
    <w:p w:rsidR="00C84C8B" w:rsidRDefault="00C84C8B" w:rsidP="00C84C8B">
      <w:pPr>
        <w:pStyle w:val="ad"/>
        <w:spacing w:after="0"/>
        <w:ind w:left="43"/>
        <w:jc w:val="both"/>
        <w:rPr>
          <w:rFonts w:cs="David"/>
          <w:color w:val="17365D"/>
          <w:sz w:val="24"/>
          <w:szCs w:val="24"/>
          <w:rtl/>
        </w:rPr>
      </w:pPr>
    </w:p>
    <w:p w:rsidR="00F22136" w:rsidRDefault="00F22136" w:rsidP="00DC1092">
      <w:pPr>
        <w:pStyle w:val="ad"/>
        <w:spacing w:after="0"/>
        <w:ind w:left="43"/>
        <w:jc w:val="both"/>
        <w:rPr>
          <w:rFonts w:cs="David"/>
          <w:color w:val="17365D"/>
          <w:sz w:val="24"/>
          <w:szCs w:val="24"/>
          <w:rtl/>
        </w:rPr>
      </w:pPr>
      <w:r>
        <w:rPr>
          <w:rFonts w:cs="David" w:hint="cs"/>
          <w:color w:val="17365D"/>
          <w:sz w:val="24"/>
          <w:szCs w:val="24"/>
          <w:rtl/>
        </w:rPr>
        <w:t xml:space="preserve">עבור </w:t>
      </w:r>
      <w:r w:rsidR="00A062A5">
        <w:rPr>
          <w:rFonts w:cs="David"/>
          <w:color w:val="17365D"/>
          <w:sz w:val="24"/>
          <w:szCs w:val="24"/>
        </w:rPr>
        <w:t>%</w:t>
      </w:r>
      <w:r w:rsidR="00A062A5">
        <w:rPr>
          <w:rFonts w:cs="David" w:hint="cs"/>
          <w:color w:val="17365D"/>
          <w:sz w:val="24"/>
          <w:szCs w:val="24"/>
          <w:rtl/>
        </w:rPr>
        <w:t>74</w:t>
      </w:r>
      <w:r w:rsidR="00195E99">
        <w:rPr>
          <w:rFonts w:cs="David" w:hint="cs"/>
          <w:color w:val="17365D"/>
          <w:sz w:val="24"/>
          <w:szCs w:val="24"/>
          <w:rtl/>
        </w:rPr>
        <w:t xml:space="preserve"> </w:t>
      </w:r>
      <w:r>
        <w:rPr>
          <w:rFonts w:cs="David" w:hint="cs"/>
          <w:color w:val="17365D"/>
          <w:sz w:val="24"/>
          <w:szCs w:val="24"/>
          <w:rtl/>
        </w:rPr>
        <w:t>מגידולי המח השפירים</w:t>
      </w:r>
      <w:r w:rsidR="00195E99">
        <w:rPr>
          <w:rFonts w:cs="David" w:hint="cs"/>
          <w:color w:val="17365D"/>
          <w:sz w:val="24"/>
          <w:szCs w:val="24"/>
          <w:rtl/>
        </w:rPr>
        <w:t>/</w:t>
      </w:r>
      <w:r w:rsidR="00A062A5">
        <w:rPr>
          <w:rFonts w:cs="David" w:hint="cs"/>
          <w:color w:val="17365D"/>
          <w:sz w:val="24"/>
          <w:szCs w:val="24"/>
          <w:rtl/>
        </w:rPr>
        <w:t xml:space="preserve">בעלי </w:t>
      </w:r>
      <w:r w:rsidR="00195E99">
        <w:rPr>
          <w:rFonts w:cs="David" w:hint="cs"/>
          <w:color w:val="17365D"/>
          <w:sz w:val="24"/>
          <w:szCs w:val="24"/>
          <w:rtl/>
        </w:rPr>
        <w:t>התנהגות לא ידועה</w:t>
      </w:r>
      <w:r>
        <w:rPr>
          <w:rFonts w:cs="David" w:hint="cs"/>
          <w:color w:val="17365D"/>
          <w:sz w:val="24"/>
          <w:szCs w:val="24"/>
          <w:rtl/>
        </w:rPr>
        <w:t xml:space="preserve"> צד הגידול קודד כ"לא ידוע" או כ"איבר ללא  זוגיות", אולם במקרים בהם צוין הצד, לא נראה כי קיימת עדיפות לגידולים בצד ימין או בצד שמאל לכל אורך התקופה.</w:t>
      </w:r>
    </w:p>
    <w:p w:rsidR="00DC1092" w:rsidRDefault="00DC1092" w:rsidP="00DC1092">
      <w:pPr>
        <w:pStyle w:val="ad"/>
        <w:spacing w:after="0"/>
        <w:ind w:left="43"/>
        <w:jc w:val="both"/>
        <w:rPr>
          <w:rFonts w:cs="David"/>
          <w:color w:val="17365D"/>
          <w:sz w:val="24"/>
          <w:szCs w:val="24"/>
          <w:rtl/>
        </w:rPr>
      </w:pPr>
    </w:p>
    <w:p w:rsidR="00DC1092" w:rsidRDefault="00DC1092" w:rsidP="00DC1092">
      <w:pPr>
        <w:pStyle w:val="ad"/>
        <w:spacing w:after="0"/>
        <w:ind w:left="43"/>
        <w:jc w:val="both"/>
        <w:rPr>
          <w:rFonts w:cs="David"/>
          <w:color w:val="17365D"/>
          <w:sz w:val="24"/>
          <w:szCs w:val="24"/>
          <w:rtl/>
        </w:rPr>
      </w:pPr>
    </w:p>
    <w:p w:rsidR="00893847" w:rsidRDefault="00893847" w:rsidP="006E2770">
      <w:pPr>
        <w:pStyle w:val="ad"/>
        <w:numPr>
          <w:ilvl w:val="0"/>
          <w:numId w:val="9"/>
        </w:numPr>
        <w:spacing w:after="0"/>
        <w:ind w:left="43" w:firstLine="0"/>
        <w:jc w:val="both"/>
        <w:rPr>
          <w:rFonts w:cs="David"/>
          <w:b/>
          <w:bCs/>
          <w:color w:val="17365D"/>
          <w:sz w:val="28"/>
          <w:szCs w:val="28"/>
        </w:rPr>
      </w:pPr>
      <w:r w:rsidRPr="0087063A">
        <w:rPr>
          <w:rFonts w:cs="David" w:hint="cs"/>
          <w:b/>
          <w:bCs/>
          <w:color w:val="17365D"/>
          <w:sz w:val="28"/>
          <w:szCs w:val="28"/>
          <w:rtl/>
        </w:rPr>
        <w:t>מסקנות</w:t>
      </w:r>
    </w:p>
    <w:p w:rsidR="00C84C8B" w:rsidRDefault="00C84C8B" w:rsidP="004C0534">
      <w:pPr>
        <w:pStyle w:val="ad"/>
        <w:spacing w:after="0"/>
        <w:ind w:left="43"/>
        <w:jc w:val="both"/>
        <w:rPr>
          <w:rFonts w:cs="David"/>
          <w:color w:val="17365D"/>
          <w:sz w:val="24"/>
          <w:szCs w:val="24"/>
          <w:rtl/>
        </w:rPr>
      </w:pPr>
      <w:r w:rsidRPr="000F1A0F">
        <w:rPr>
          <w:rFonts w:cs="David" w:hint="cs"/>
          <w:b/>
          <w:bCs/>
          <w:color w:val="17365D"/>
          <w:sz w:val="24"/>
          <w:szCs w:val="24"/>
          <w:rtl/>
        </w:rPr>
        <w:t xml:space="preserve">בין השנים 1990-2014 </w:t>
      </w:r>
      <w:r w:rsidR="004C0534" w:rsidRPr="000F1A0F">
        <w:rPr>
          <w:rFonts w:cs="David" w:hint="cs"/>
          <w:b/>
          <w:bCs/>
          <w:color w:val="17365D"/>
          <w:sz w:val="24"/>
          <w:szCs w:val="24"/>
          <w:rtl/>
        </w:rPr>
        <w:t>ה</w:t>
      </w:r>
      <w:r w:rsidRPr="000F1A0F">
        <w:rPr>
          <w:rFonts w:cs="David" w:hint="cs"/>
          <w:b/>
          <w:bCs/>
          <w:color w:val="17365D"/>
          <w:sz w:val="24"/>
          <w:szCs w:val="24"/>
          <w:rtl/>
        </w:rPr>
        <w:t>היארעות של גידולי מח ממאירים</w:t>
      </w:r>
      <w:r w:rsidR="00E02A02" w:rsidRPr="000F1A0F">
        <w:rPr>
          <w:rFonts w:cs="David" w:hint="cs"/>
          <w:b/>
          <w:bCs/>
          <w:color w:val="17365D"/>
          <w:sz w:val="24"/>
          <w:szCs w:val="24"/>
          <w:rtl/>
        </w:rPr>
        <w:t xml:space="preserve"> בכל קבוצות האוכלוסייה שנבחנו: גברים יהודים, נשים יהודיות, גברים ערבים ונשים ערביות</w:t>
      </w:r>
      <w:r w:rsidR="004C0534" w:rsidRPr="000F1A0F">
        <w:rPr>
          <w:rFonts w:cs="David" w:hint="cs"/>
          <w:b/>
          <w:bCs/>
          <w:color w:val="17365D"/>
          <w:sz w:val="24"/>
          <w:szCs w:val="24"/>
          <w:rtl/>
        </w:rPr>
        <w:t>, הייתה יציבה</w:t>
      </w:r>
      <w:r w:rsidR="00E02A02">
        <w:rPr>
          <w:rFonts w:cs="David" w:hint="cs"/>
          <w:color w:val="17365D"/>
          <w:sz w:val="24"/>
          <w:szCs w:val="24"/>
          <w:rtl/>
        </w:rPr>
        <w:t xml:space="preserve">. מגמה זהה נצפתה </w:t>
      </w:r>
      <w:r>
        <w:rPr>
          <w:rFonts w:cs="David" w:hint="cs"/>
          <w:color w:val="17365D"/>
          <w:sz w:val="24"/>
          <w:szCs w:val="24"/>
          <w:rtl/>
        </w:rPr>
        <w:t>גם עבור הגידול השכיח ביותר בקבוצה זו, גליובלסטומה</w:t>
      </w:r>
      <w:r w:rsidR="00E02A02">
        <w:rPr>
          <w:rFonts w:cs="David" w:hint="cs"/>
          <w:color w:val="17365D"/>
          <w:sz w:val="24"/>
          <w:szCs w:val="24"/>
          <w:rtl/>
        </w:rPr>
        <w:t xml:space="preserve">. לגבי כלל קבוצת הגליומות, השיעורים היו יציבים לאורך כל התקופה לגבי שלוש (גברים ונשים יהודים; נשים ערביות) מארבע קבוצות האוכלוסייה שנבחנו. רק בגברים ערבים </w:t>
      </w:r>
      <w:r>
        <w:rPr>
          <w:rFonts w:cs="David" w:hint="cs"/>
          <w:color w:val="17365D"/>
          <w:sz w:val="24"/>
          <w:szCs w:val="24"/>
          <w:rtl/>
        </w:rPr>
        <w:t xml:space="preserve">נצפתה עלייה מובהקת בשיעורי ההיארעות </w:t>
      </w:r>
      <w:r w:rsidR="00EC5197">
        <w:rPr>
          <w:rFonts w:cs="David" w:hint="cs"/>
          <w:color w:val="17365D"/>
          <w:sz w:val="24"/>
          <w:szCs w:val="24"/>
          <w:rtl/>
        </w:rPr>
        <w:t>בין 1990 ו</w:t>
      </w:r>
      <w:r w:rsidR="00A062A5">
        <w:rPr>
          <w:rFonts w:cs="David" w:hint="cs"/>
          <w:color w:val="17365D"/>
          <w:sz w:val="24"/>
          <w:szCs w:val="24"/>
          <w:rtl/>
        </w:rPr>
        <w:t>-</w:t>
      </w:r>
      <w:r>
        <w:rPr>
          <w:rFonts w:cs="David" w:hint="cs"/>
          <w:color w:val="17365D"/>
          <w:sz w:val="24"/>
          <w:szCs w:val="24"/>
          <w:rtl/>
        </w:rPr>
        <w:t xml:space="preserve">2001 </w:t>
      </w:r>
      <w:r w:rsidR="00EC5197">
        <w:rPr>
          <w:rFonts w:cs="David" w:hint="cs"/>
          <w:color w:val="17365D"/>
          <w:sz w:val="24"/>
          <w:szCs w:val="24"/>
          <w:rtl/>
        </w:rPr>
        <w:t>ו</w:t>
      </w:r>
      <w:r>
        <w:rPr>
          <w:rFonts w:cs="David" w:hint="cs"/>
          <w:color w:val="17365D"/>
          <w:sz w:val="24"/>
          <w:szCs w:val="24"/>
          <w:rtl/>
        </w:rPr>
        <w:t xml:space="preserve">לאחר מכן </w:t>
      </w:r>
      <w:r w:rsidR="00EC5197">
        <w:rPr>
          <w:rFonts w:cs="David" w:hint="cs"/>
          <w:color w:val="17365D"/>
          <w:sz w:val="24"/>
          <w:szCs w:val="24"/>
          <w:rtl/>
        </w:rPr>
        <w:t xml:space="preserve">השיעורים </w:t>
      </w:r>
      <w:r>
        <w:rPr>
          <w:rFonts w:cs="David" w:hint="cs"/>
          <w:color w:val="17365D"/>
          <w:sz w:val="24"/>
          <w:szCs w:val="24"/>
          <w:rtl/>
        </w:rPr>
        <w:t>התייצבו.</w:t>
      </w:r>
      <w:r w:rsidR="002C42F1">
        <w:rPr>
          <w:rFonts w:cs="David" w:hint="cs"/>
          <w:color w:val="17365D"/>
          <w:sz w:val="24"/>
          <w:szCs w:val="24"/>
          <w:rtl/>
        </w:rPr>
        <w:t xml:space="preserve"> </w:t>
      </w:r>
      <w:r w:rsidR="004C0534">
        <w:rPr>
          <w:rFonts w:cs="David" w:hint="cs"/>
          <w:color w:val="17365D"/>
          <w:sz w:val="24"/>
          <w:szCs w:val="24"/>
          <w:rtl/>
        </w:rPr>
        <w:t>ב</w:t>
      </w:r>
      <w:r w:rsidR="002C42F1">
        <w:rPr>
          <w:rFonts w:cs="David" w:hint="cs"/>
          <w:color w:val="17365D"/>
          <w:sz w:val="24"/>
          <w:szCs w:val="24"/>
          <w:rtl/>
        </w:rPr>
        <w:t>מחקר קודם</w:t>
      </w:r>
      <w:r w:rsidR="004C0534">
        <w:rPr>
          <w:rStyle w:val="ac"/>
          <w:rFonts w:cs="David"/>
          <w:color w:val="17365D"/>
          <w:sz w:val="24"/>
          <w:szCs w:val="24"/>
          <w:rtl/>
        </w:rPr>
        <w:footnoteReference w:id="5"/>
      </w:r>
      <w:r w:rsidR="002C42F1">
        <w:rPr>
          <w:rFonts w:cs="David" w:hint="cs"/>
          <w:color w:val="17365D"/>
          <w:sz w:val="24"/>
          <w:szCs w:val="24"/>
          <w:rtl/>
        </w:rPr>
        <w:t xml:space="preserve"> באוכלוסיית ישראל </w:t>
      </w:r>
      <w:r w:rsidR="004C0534">
        <w:rPr>
          <w:rFonts w:cs="David" w:hint="cs"/>
          <w:color w:val="17365D"/>
          <w:sz w:val="24"/>
          <w:szCs w:val="24"/>
          <w:rtl/>
        </w:rPr>
        <w:t>דווח</w:t>
      </w:r>
      <w:r w:rsidR="002C42F1">
        <w:rPr>
          <w:rFonts w:cs="David" w:hint="cs"/>
          <w:color w:val="17365D"/>
          <w:sz w:val="24"/>
          <w:szCs w:val="24"/>
          <w:rtl/>
        </w:rPr>
        <w:t xml:space="preserve"> כי </w:t>
      </w:r>
      <w:r w:rsidR="00E02A02">
        <w:rPr>
          <w:rFonts w:cs="David" w:hint="cs"/>
          <w:color w:val="17365D"/>
          <w:sz w:val="24"/>
          <w:szCs w:val="24"/>
          <w:rtl/>
        </w:rPr>
        <w:t xml:space="preserve">במהלך שלושת העשורים </w:t>
      </w:r>
      <w:r w:rsidR="004C0534">
        <w:rPr>
          <w:rFonts w:cs="David" w:hint="cs"/>
          <w:color w:val="17365D"/>
          <w:sz w:val="24"/>
          <w:szCs w:val="24"/>
          <w:rtl/>
        </w:rPr>
        <w:t xml:space="preserve">1980-2009, היארעות של </w:t>
      </w:r>
      <w:proofErr w:type="spellStart"/>
      <w:r w:rsidR="004C0534">
        <w:rPr>
          <w:rFonts w:cs="David" w:hint="cs"/>
          <w:color w:val="17365D"/>
          <w:sz w:val="24"/>
          <w:szCs w:val="24"/>
          <w:rtl/>
        </w:rPr>
        <w:t>גליומות</w:t>
      </w:r>
      <w:proofErr w:type="spellEnd"/>
      <w:r w:rsidR="004C0534">
        <w:rPr>
          <w:rFonts w:cs="David" w:hint="cs"/>
          <w:color w:val="17365D"/>
          <w:sz w:val="24"/>
          <w:szCs w:val="24"/>
          <w:rtl/>
        </w:rPr>
        <w:t xml:space="preserve"> מדרגת ממאירות נמוכה ירדה במובהק. </w:t>
      </w:r>
      <w:r w:rsidR="00E02A02">
        <w:rPr>
          <w:rFonts w:cs="David" w:hint="cs"/>
          <w:color w:val="17365D"/>
          <w:sz w:val="24"/>
          <w:szCs w:val="24"/>
          <w:rtl/>
        </w:rPr>
        <w:t xml:space="preserve"> </w:t>
      </w:r>
    </w:p>
    <w:p w:rsidR="00163FF3" w:rsidRPr="000F1A0F" w:rsidRDefault="00163FF3" w:rsidP="00DC1092">
      <w:pPr>
        <w:pStyle w:val="ad"/>
        <w:spacing w:after="0"/>
        <w:ind w:left="43"/>
        <w:jc w:val="both"/>
        <w:rPr>
          <w:rFonts w:cs="David"/>
          <w:b/>
          <w:bCs/>
          <w:color w:val="17365D"/>
          <w:sz w:val="24"/>
          <w:szCs w:val="24"/>
          <w:rtl/>
        </w:rPr>
      </w:pPr>
      <w:r w:rsidRPr="000F1A0F">
        <w:rPr>
          <w:rFonts w:cs="David" w:hint="cs"/>
          <w:b/>
          <w:bCs/>
          <w:color w:val="17365D"/>
          <w:sz w:val="24"/>
          <w:szCs w:val="24"/>
          <w:rtl/>
        </w:rPr>
        <w:t>בספרות המדעית נרמז כי יכול להיות קשר בין שימוש כבד ותכוף בטלפון נייד או טלפון אלחוטי</w:t>
      </w:r>
      <w:r w:rsidR="003A77F6" w:rsidRPr="000F1A0F">
        <w:rPr>
          <w:rFonts w:cs="David" w:hint="cs"/>
          <w:b/>
          <w:bCs/>
          <w:color w:val="17365D"/>
          <w:sz w:val="24"/>
          <w:szCs w:val="24"/>
          <w:rtl/>
        </w:rPr>
        <w:t xml:space="preserve"> לבין גידולים מסוג </w:t>
      </w:r>
      <w:proofErr w:type="spellStart"/>
      <w:r w:rsidR="003A77F6" w:rsidRPr="000F1A0F">
        <w:rPr>
          <w:rFonts w:cs="David" w:hint="cs"/>
          <w:b/>
          <w:bCs/>
          <w:color w:val="17365D"/>
          <w:sz w:val="24"/>
          <w:szCs w:val="24"/>
          <w:rtl/>
        </w:rPr>
        <w:t>גליומות</w:t>
      </w:r>
      <w:proofErr w:type="spellEnd"/>
      <w:r w:rsidR="003A77F6" w:rsidRPr="000F1A0F">
        <w:rPr>
          <w:rStyle w:val="ac"/>
          <w:rFonts w:cs="David"/>
          <w:b/>
          <w:bCs/>
          <w:color w:val="17365D"/>
          <w:sz w:val="24"/>
          <w:szCs w:val="24"/>
          <w:rtl/>
        </w:rPr>
        <w:footnoteReference w:id="6"/>
      </w:r>
      <w:r w:rsidR="00DC1092" w:rsidRPr="000F1A0F">
        <w:rPr>
          <w:rFonts w:cs="David" w:hint="cs"/>
          <w:b/>
          <w:bCs/>
          <w:color w:val="17365D"/>
          <w:sz w:val="24"/>
          <w:szCs w:val="24"/>
          <w:rtl/>
        </w:rPr>
        <w:t xml:space="preserve">; </w:t>
      </w:r>
      <w:r w:rsidRPr="000F1A0F">
        <w:rPr>
          <w:rFonts w:cs="David" w:hint="cs"/>
          <w:b/>
          <w:bCs/>
          <w:color w:val="17365D"/>
          <w:sz w:val="24"/>
          <w:szCs w:val="24"/>
          <w:rtl/>
        </w:rPr>
        <w:t xml:space="preserve">בישראל אין עדות לעלייה בתחלואה </w:t>
      </w:r>
      <w:r w:rsidR="00DC1092" w:rsidRPr="000F1A0F">
        <w:rPr>
          <w:rFonts w:cs="David" w:hint="cs"/>
          <w:b/>
          <w:bCs/>
          <w:color w:val="17365D"/>
          <w:sz w:val="24"/>
          <w:szCs w:val="24"/>
          <w:rtl/>
        </w:rPr>
        <w:t xml:space="preserve">בסוג זה של גידולי מח </w:t>
      </w:r>
      <w:r w:rsidRPr="000F1A0F">
        <w:rPr>
          <w:rFonts w:cs="David" w:hint="cs"/>
          <w:b/>
          <w:bCs/>
          <w:color w:val="17365D"/>
          <w:sz w:val="24"/>
          <w:szCs w:val="24"/>
          <w:rtl/>
        </w:rPr>
        <w:t>בשני העשורים האחרונים.</w:t>
      </w:r>
    </w:p>
    <w:p w:rsidR="00A062A5" w:rsidRDefault="00A062A5" w:rsidP="001C6713">
      <w:pPr>
        <w:pStyle w:val="ad"/>
        <w:spacing w:after="0"/>
        <w:ind w:left="43"/>
        <w:jc w:val="both"/>
        <w:rPr>
          <w:rFonts w:cs="David"/>
          <w:color w:val="17365D"/>
          <w:sz w:val="24"/>
          <w:szCs w:val="24"/>
          <w:rtl/>
        </w:rPr>
      </w:pPr>
    </w:p>
    <w:p w:rsidR="00B60C3F" w:rsidRDefault="00C84C8B" w:rsidP="004C0534">
      <w:pPr>
        <w:pStyle w:val="ad"/>
        <w:spacing w:after="0"/>
        <w:ind w:left="43"/>
        <w:jc w:val="both"/>
        <w:rPr>
          <w:rFonts w:cs="David"/>
          <w:color w:val="17365D"/>
          <w:sz w:val="24"/>
          <w:szCs w:val="24"/>
          <w:rtl/>
        </w:rPr>
      </w:pPr>
      <w:r>
        <w:rPr>
          <w:rFonts w:cs="David" w:hint="cs"/>
          <w:color w:val="17365D"/>
          <w:sz w:val="24"/>
          <w:szCs w:val="24"/>
          <w:rtl/>
        </w:rPr>
        <w:t>באשר לגידולים שפירים</w:t>
      </w:r>
      <w:r w:rsidR="00A062A5">
        <w:rPr>
          <w:rFonts w:cs="David" w:hint="cs"/>
          <w:color w:val="17365D"/>
          <w:sz w:val="24"/>
          <w:szCs w:val="24"/>
          <w:rtl/>
        </w:rPr>
        <w:t>/</w:t>
      </w:r>
      <w:r>
        <w:rPr>
          <w:rFonts w:cs="David" w:hint="cs"/>
          <w:color w:val="17365D"/>
          <w:sz w:val="24"/>
          <w:szCs w:val="24"/>
          <w:rtl/>
        </w:rPr>
        <w:t xml:space="preserve">בעלי התנהגות לא ברורה, נצפתה מגמת עלייה בהיארעות בקרב נשים יהודיות וערביות וכן בקרב </w:t>
      </w:r>
      <w:r w:rsidR="00B60C3F">
        <w:rPr>
          <w:rFonts w:cs="David" w:hint="cs"/>
          <w:color w:val="17365D"/>
          <w:sz w:val="24"/>
          <w:szCs w:val="24"/>
          <w:rtl/>
        </w:rPr>
        <w:t xml:space="preserve">גברים ערבים עד אמצע שנות ה-2000, </w:t>
      </w:r>
      <w:r w:rsidR="00A062A5">
        <w:rPr>
          <w:rFonts w:cs="David" w:hint="cs"/>
          <w:color w:val="17365D"/>
          <w:sz w:val="24"/>
          <w:szCs w:val="24"/>
          <w:rtl/>
        </w:rPr>
        <w:t xml:space="preserve">בעוד שבגברים יהודים המגמה הייתה יציבה.  </w:t>
      </w:r>
      <w:r w:rsidR="00B60C3F">
        <w:rPr>
          <w:rFonts w:cs="David" w:hint="cs"/>
          <w:color w:val="17365D"/>
          <w:sz w:val="24"/>
          <w:szCs w:val="24"/>
          <w:rtl/>
        </w:rPr>
        <w:t xml:space="preserve">לאחר </w:t>
      </w:r>
      <w:r w:rsidR="004C0534">
        <w:rPr>
          <w:rFonts w:cs="David" w:hint="cs"/>
          <w:color w:val="17365D"/>
          <w:sz w:val="24"/>
          <w:szCs w:val="24"/>
          <w:rtl/>
        </w:rPr>
        <w:t>אמצע שנות ה-2000</w:t>
      </w:r>
      <w:r w:rsidR="00B60C3F">
        <w:rPr>
          <w:rFonts w:cs="David" w:hint="cs"/>
          <w:color w:val="17365D"/>
          <w:sz w:val="24"/>
          <w:szCs w:val="24"/>
          <w:rtl/>
        </w:rPr>
        <w:t xml:space="preserve"> התייצבה </w:t>
      </w:r>
      <w:r w:rsidR="001C6713">
        <w:rPr>
          <w:rFonts w:cs="David" w:hint="cs"/>
          <w:color w:val="17365D"/>
          <w:sz w:val="24"/>
          <w:szCs w:val="24"/>
          <w:rtl/>
        </w:rPr>
        <w:t xml:space="preserve">המגמה </w:t>
      </w:r>
      <w:r w:rsidR="00B60C3F">
        <w:rPr>
          <w:rFonts w:cs="David" w:hint="cs"/>
          <w:color w:val="17365D"/>
          <w:sz w:val="24"/>
          <w:szCs w:val="24"/>
          <w:rtl/>
        </w:rPr>
        <w:t>בגברים ובנשים ערבים</w:t>
      </w:r>
      <w:r w:rsidR="001C6713">
        <w:rPr>
          <w:rFonts w:cs="David" w:hint="cs"/>
          <w:color w:val="17365D"/>
          <w:sz w:val="24"/>
          <w:szCs w:val="24"/>
          <w:rtl/>
        </w:rPr>
        <w:t xml:space="preserve"> בעוד ש</w:t>
      </w:r>
      <w:r w:rsidR="00B60C3F">
        <w:rPr>
          <w:rFonts w:cs="David" w:hint="cs"/>
          <w:color w:val="17365D"/>
          <w:sz w:val="24"/>
          <w:szCs w:val="24"/>
          <w:rtl/>
        </w:rPr>
        <w:t>בקרב יהודים</w:t>
      </w:r>
      <w:r w:rsidR="001C6713">
        <w:rPr>
          <w:rFonts w:cs="David" w:hint="cs"/>
          <w:color w:val="17365D"/>
          <w:sz w:val="24"/>
          <w:szCs w:val="24"/>
          <w:rtl/>
        </w:rPr>
        <w:t xml:space="preserve">, גברים ונשים, </w:t>
      </w:r>
      <w:r w:rsidR="00B60C3F">
        <w:rPr>
          <w:rFonts w:cs="David" w:hint="cs"/>
          <w:color w:val="17365D"/>
          <w:sz w:val="24"/>
          <w:szCs w:val="24"/>
          <w:rtl/>
        </w:rPr>
        <w:t>נצפתה מגמת ירידה מובהקת. מגמות דומות נצפו גם כאשר נבח</w:t>
      </w:r>
      <w:r w:rsidR="002714B6">
        <w:rPr>
          <w:rFonts w:cs="David" w:hint="cs"/>
          <w:color w:val="17365D"/>
          <w:sz w:val="24"/>
          <w:szCs w:val="24"/>
          <w:rtl/>
        </w:rPr>
        <w:t>נ</w:t>
      </w:r>
      <w:r w:rsidR="001C6713">
        <w:rPr>
          <w:rFonts w:cs="David" w:hint="cs"/>
          <w:color w:val="17365D"/>
          <w:sz w:val="24"/>
          <w:szCs w:val="24"/>
          <w:rtl/>
        </w:rPr>
        <w:t>ה</w:t>
      </w:r>
      <w:r w:rsidR="00B60C3F">
        <w:rPr>
          <w:rFonts w:cs="David" w:hint="cs"/>
          <w:color w:val="17365D"/>
          <w:sz w:val="24"/>
          <w:szCs w:val="24"/>
          <w:rtl/>
        </w:rPr>
        <w:t xml:space="preserve"> </w:t>
      </w:r>
      <w:r w:rsidR="002714B6">
        <w:rPr>
          <w:rFonts w:cs="David" w:hint="cs"/>
          <w:color w:val="17365D"/>
          <w:sz w:val="24"/>
          <w:szCs w:val="24"/>
          <w:rtl/>
        </w:rPr>
        <w:t xml:space="preserve">לחוד </w:t>
      </w:r>
      <w:r w:rsidR="001C6713">
        <w:rPr>
          <w:rFonts w:cs="David" w:hint="cs"/>
          <w:color w:val="17365D"/>
          <w:sz w:val="24"/>
          <w:szCs w:val="24"/>
          <w:rtl/>
        </w:rPr>
        <w:t xml:space="preserve">ההיארעות </w:t>
      </w:r>
      <w:r w:rsidR="002714B6">
        <w:rPr>
          <w:rFonts w:cs="David" w:hint="cs"/>
          <w:color w:val="17365D"/>
          <w:sz w:val="24"/>
          <w:szCs w:val="24"/>
          <w:rtl/>
        </w:rPr>
        <w:t xml:space="preserve">של </w:t>
      </w:r>
      <w:r w:rsidR="00B60C3F">
        <w:rPr>
          <w:rFonts w:cs="David" w:hint="cs"/>
          <w:color w:val="17365D"/>
          <w:sz w:val="24"/>
          <w:szCs w:val="24"/>
          <w:rtl/>
        </w:rPr>
        <w:t xml:space="preserve">הגידול השכיח ביותר בקבוצה זו, </w:t>
      </w:r>
      <w:proofErr w:type="spellStart"/>
      <w:r w:rsidR="00B60C3F">
        <w:rPr>
          <w:rFonts w:cs="David" w:hint="cs"/>
          <w:color w:val="17365D"/>
          <w:sz w:val="24"/>
          <w:szCs w:val="24"/>
          <w:rtl/>
        </w:rPr>
        <w:t>מנינגיומה</w:t>
      </w:r>
      <w:proofErr w:type="spellEnd"/>
      <w:r w:rsidR="00B60C3F">
        <w:rPr>
          <w:rFonts w:cs="David" w:hint="cs"/>
          <w:color w:val="17365D"/>
          <w:sz w:val="24"/>
          <w:szCs w:val="24"/>
          <w:rtl/>
        </w:rPr>
        <w:t xml:space="preserve"> שפירה</w:t>
      </w:r>
      <w:r w:rsidR="00A062A5">
        <w:rPr>
          <w:rFonts w:cs="David" w:hint="cs"/>
          <w:color w:val="17365D"/>
          <w:sz w:val="24"/>
          <w:szCs w:val="24"/>
          <w:rtl/>
        </w:rPr>
        <w:t>/</w:t>
      </w:r>
      <w:r w:rsidR="00B60C3F">
        <w:rPr>
          <w:rFonts w:cs="David" w:hint="cs"/>
          <w:color w:val="17365D"/>
          <w:sz w:val="24"/>
          <w:szCs w:val="24"/>
          <w:rtl/>
        </w:rPr>
        <w:t>בעלת התנהגות בלתי ברורה.</w:t>
      </w:r>
      <w:r w:rsidR="001C6713">
        <w:rPr>
          <w:rFonts w:cs="David" w:hint="cs"/>
          <w:color w:val="17365D"/>
          <w:sz w:val="24"/>
          <w:szCs w:val="24"/>
          <w:rtl/>
        </w:rPr>
        <w:t xml:space="preserve"> </w:t>
      </w:r>
      <w:r w:rsidR="00B60C3F">
        <w:rPr>
          <w:rFonts w:cs="David" w:hint="cs"/>
          <w:color w:val="17365D"/>
          <w:sz w:val="24"/>
          <w:szCs w:val="24"/>
          <w:rtl/>
        </w:rPr>
        <w:t>גם בארצות הברית</w:t>
      </w:r>
      <w:r w:rsidR="002714B6">
        <w:rPr>
          <w:rFonts w:cs="David" w:hint="cs"/>
          <w:color w:val="17365D"/>
          <w:sz w:val="24"/>
          <w:szCs w:val="24"/>
          <w:rtl/>
        </w:rPr>
        <w:t xml:space="preserve"> דווח על מגמת ירידה בהיארעות של מנינגיומה שפירה</w:t>
      </w:r>
      <w:r w:rsidR="002C42F1">
        <w:rPr>
          <w:rStyle w:val="ac"/>
          <w:rFonts w:cs="David"/>
          <w:color w:val="17365D"/>
          <w:sz w:val="24"/>
          <w:szCs w:val="24"/>
          <w:rtl/>
        </w:rPr>
        <w:footnoteReference w:id="7"/>
      </w:r>
      <w:r w:rsidR="002714B6">
        <w:rPr>
          <w:rFonts w:cs="David" w:hint="cs"/>
          <w:color w:val="17365D"/>
          <w:sz w:val="24"/>
          <w:szCs w:val="24"/>
          <w:rtl/>
        </w:rPr>
        <w:t xml:space="preserve">, </w:t>
      </w:r>
      <w:r w:rsidR="00B60C3F">
        <w:rPr>
          <w:rFonts w:cs="David" w:hint="cs"/>
          <w:color w:val="17365D"/>
          <w:sz w:val="24"/>
          <w:szCs w:val="24"/>
          <w:rtl/>
        </w:rPr>
        <w:t>בשיעור שנתי ממוצע של</w:t>
      </w:r>
      <w:r w:rsidR="002C42F1">
        <w:rPr>
          <w:rFonts w:cs="David" w:hint="cs"/>
          <w:color w:val="17365D"/>
          <w:sz w:val="24"/>
          <w:szCs w:val="24"/>
          <w:rtl/>
        </w:rPr>
        <w:t xml:space="preserve"> 3.4% </w:t>
      </w:r>
      <w:r w:rsidR="00B60C3F">
        <w:rPr>
          <w:rFonts w:cs="David" w:hint="cs"/>
          <w:color w:val="17365D"/>
          <w:sz w:val="24"/>
          <w:szCs w:val="24"/>
          <w:rtl/>
        </w:rPr>
        <w:t xml:space="preserve"> </w:t>
      </w:r>
      <w:r w:rsidR="002C42F1">
        <w:rPr>
          <w:rFonts w:cs="David" w:hint="cs"/>
          <w:color w:val="17365D"/>
          <w:sz w:val="24"/>
          <w:szCs w:val="24"/>
          <w:rtl/>
        </w:rPr>
        <w:t>בין 2005 ו-2014</w:t>
      </w:r>
      <w:r w:rsidR="002C42F1">
        <w:rPr>
          <w:rStyle w:val="ac"/>
          <w:rFonts w:cs="David"/>
          <w:color w:val="17365D"/>
          <w:sz w:val="24"/>
          <w:szCs w:val="24"/>
          <w:rtl/>
        </w:rPr>
        <w:footnoteReference w:id="8"/>
      </w:r>
      <w:r w:rsidR="002714B6">
        <w:rPr>
          <w:rFonts w:cs="David" w:hint="cs"/>
          <w:color w:val="17365D"/>
          <w:sz w:val="24"/>
          <w:szCs w:val="24"/>
          <w:rtl/>
        </w:rPr>
        <w:t>.</w:t>
      </w:r>
    </w:p>
    <w:p w:rsidR="00A062A5" w:rsidRDefault="00A062A5" w:rsidP="003A77F6">
      <w:pPr>
        <w:pStyle w:val="ad"/>
        <w:spacing w:after="0"/>
        <w:ind w:left="43"/>
        <w:jc w:val="both"/>
        <w:rPr>
          <w:rFonts w:cs="David"/>
          <w:color w:val="17365D"/>
          <w:sz w:val="24"/>
          <w:szCs w:val="24"/>
          <w:rtl/>
        </w:rPr>
      </w:pPr>
    </w:p>
    <w:p w:rsidR="00C84C8B" w:rsidRDefault="002714B6" w:rsidP="00DC1092">
      <w:pPr>
        <w:pStyle w:val="ad"/>
        <w:spacing w:after="0"/>
        <w:ind w:left="43"/>
        <w:jc w:val="both"/>
        <w:rPr>
          <w:rFonts w:cs="David"/>
          <w:color w:val="17365D"/>
          <w:sz w:val="24"/>
          <w:szCs w:val="24"/>
          <w:rtl/>
        </w:rPr>
      </w:pPr>
      <w:r>
        <w:rPr>
          <w:rFonts w:cs="David" w:hint="cs"/>
          <w:color w:val="17365D"/>
          <w:sz w:val="24"/>
          <w:szCs w:val="24"/>
          <w:rtl/>
        </w:rPr>
        <w:t xml:space="preserve">אין הסבר ברור לעלייה בהיארעות של </w:t>
      </w:r>
      <w:r w:rsidR="001C6713">
        <w:rPr>
          <w:rFonts w:cs="David" w:hint="cs"/>
          <w:color w:val="17365D"/>
          <w:sz w:val="24"/>
          <w:szCs w:val="24"/>
          <w:rtl/>
        </w:rPr>
        <w:t xml:space="preserve">גידולי מח ממאירים בגברים ערבים ושל </w:t>
      </w:r>
      <w:r>
        <w:rPr>
          <w:rFonts w:cs="David" w:hint="cs"/>
          <w:color w:val="17365D"/>
          <w:sz w:val="24"/>
          <w:szCs w:val="24"/>
          <w:rtl/>
        </w:rPr>
        <w:t xml:space="preserve">מנינגיומות שפירות </w:t>
      </w:r>
      <w:r w:rsidR="001C6713">
        <w:rPr>
          <w:rFonts w:cs="David" w:hint="cs"/>
          <w:color w:val="17365D"/>
          <w:sz w:val="24"/>
          <w:szCs w:val="24"/>
          <w:rtl/>
        </w:rPr>
        <w:t>בכל קבוצות האוכלוסייה</w:t>
      </w:r>
      <w:r>
        <w:rPr>
          <w:rFonts w:cs="David" w:hint="cs"/>
          <w:color w:val="17365D"/>
          <w:sz w:val="24"/>
          <w:szCs w:val="24"/>
          <w:rtl/>
        </w:rPr>
        <w:t xml:space="preserve"> בשנים המוקדמות ועד אמצע שנות ה-2000. הועלו מספר השערות לכך, אחת מהן היא עלייה באבחנה </w:t>
      </w:r>
      <w:r w:rsidRPr="002714B6">
        <w:rPr>
          <w:rFonts w:cs="David" w:hint="cs"/>
          <w:b/>
          <w:bCs/>
          <w:color w:val="17365D"/>
          <w:sz w:val="24"/>
          <w:szCs w:val="24"/>
          <w:rtl/>
        </w:rPr>
        <w:t>מקרית</w:t>
      </w:r>
      <w:r>
        <w:rPr>
          <w:rFonts w:cs="David" w:hint="cs"/>
          <w:color w:val="17365D"/>
          <w:sz w:val="24"/>
          <w:szCs w:val="24"/>
          <w:rtl/>
        </w:rPr>
        <w:t xml:space="preserve"> של גידולים איטיים ללא הסתמנות קלינית, תודות לשימוש מוגבר באמצעי הדמיה משוכללים</w:t>
      </w:r>
      <w:r>
        <w:rPr>
          <w:rStyle w:val="ac"/>
          <w:rFonts w:cs="David"/>
          <w:color w:val="17365D"/>
          <w:sz w:val="24"/>
          <w:szCs w:val="24"/>
          <w:rtl/>
        </w:rPr>
        <w:footnoteReference w:id="9"/>
      </w:r>
      <w:r>
        <w:rPr>
          <w:rFonts w:cs="David" w:hint="cs"/>
          <w:color w:val="17365D"/>
          <w:sz w:val="24"/>
          <w:szCs w:val="24"/>
          <w:rtl/>
        </w:rPr>
        <w:t>. השערה אחרת מ</w:t>
      </w:r>
      <w:r w:rsidR="008F62B8">
        <w:rPr>
          <w:rFonts w:cs="David" w:hint="cs"/>
          <w:color w:val="17365D"/>
          <w:sz w:val="24"/>
          <w:szCs w:val="24"/>
          <w:rtl/>
        </w:rPr>
        <w:t>ת</w:t>
      </w:r>
      <w:r>
        <w:rPr>
          <w:rFonts w:cs="David" w:hint="cs"/>
          <w:color w:val="17365D"/>
          <w:sz w:val="24"/>
          <w:szCs w:val="24"/>
          <w:rtl/>
        </w:rPr>
        <w:t>ייחסת לקשר אפשרי בין השמנה והיארעות מנינגיומה, בעיקר בנשים</w:t>
      </w:r>
      <w:r>
        <w:rPr>
          <w:rStyle w:val="ac"/>
          <w:rFonts w:cs="David"/>
          <w:color w:val="17365D"/>
          <w:sz w:val="24"/>
          <w:szCs w:val="24"/>
          <w:rtl/>
        </w:rPr>
        <w:footnoteReference w:id="10"/>
      </w:r>
      <w:r>
        <w:rPr>
          <w:rFonts w:cs="David" w:hint="cs"/>
          <w:color w:val="17365D"/>
          <w:sz w:val="24"/>
          <w:szCs w:val="24"/>
          <w:rtl/>
        </w:rPr>
        <w:t xml:space="preserve">. </w:t>
      </w:r>
      <w:r w:rsidR="001C6713">
        <w:rPr>
          <w:rFonts w:cs="David" w:hint="cs"/>
          <w:color w:val="17365D"/>
          <w:sz w:val="24"/>
          <w:szCs w:val="24"/>
          <w:rtl/>
        </w:rPr>
        <w:t>יש צורך להמשיך ולברר נושא זה</w:t>
      </w:r>
      <w:r w:rsidR="00DC1092">
        <w:rPr>
          <w:rFonts w:cs="David" w:hint="cs"/>
          <w:color w:val="17365D"/>
          <w:sz w:val="24"/>
          <w:szCs w:val="24"/>
          <w:rtl/>
        </w:rPr>
        <w:t xml:space="preserve">. נציין, </w:t>
      </w:r>
      <w:r w:rsidR="00A062A5">
        <w:rPr>
          <w:rFonts w:cs="David" w:hint="cs"/>
          <w:color w:val="17365D"/>
          <w:sz w:val="24"/>
          <w:szCs w:val="24"/>
          <w:rtl/>
        </w:rPr>
        <w:t>שאילו נבעה העלייה בעיקרה מ</w:t>
      </w:r>
      <w:r w:rsidR="008F62B8">
        <w:rPr>
          <w:rFonts w:cs="David" w:hint="cs"/>
          <w:color w:val="17365D"/>
          <w:sz w:val="24"/>
          <w:szCs w:val="24"/>
          <w:rtl/>
        </w:rPr>
        <w:t>חשיפה ל</w:t>
      </w:r>
      <w:r w:rsidR="00A062A5">
        <w:rPr>
          <w:rFonts w:cs="David" w:hint="cs"/>
          <w:color w:val="17365D"/>
          <w:sz w:val="24"/>
          <w:szCs w:val="24"/>
          <w:rtl/>
        </w:rPr>
        <w:t>טלפונים ניידים, היינו מצפים לראות עלייה מונוטונית</w:t>
      </w:r>
      <w:r w:rsidR="008F62B8">
        <w:rPr>
          <w:rFonts w:cs="David" w:hint="cs"/>
          <w:color w:val="17365D"/>
          <w:sz w:val="24"/>
          <w:szCs w:val="24"/>
          <w:rtl/>
        </w:rPr>
        <w:t xml:space="preserve"> בתחלואה</w:t>
      </w:r>
      <w:r w:rsidR="00A062A5">
        <w:rPr>
          <w:rFonts w:cs="David" w:hint="cs"/>
          <w:color w:val="17365D"/>
          <w:sz w:val="24"/>
          <w:szCs w:val="24"/>
          <w:rtl/>
        </w:rPr>
        <w:t xml:space="preserve">, </w:t>
      </w:r>
      <w:r w:rsidR="008F62B8">
        <w:rPr>
          <w:rFonts w:cs="David" w:hint="cs"/>
          <w:color w:val="17365D"/>
          <w:sz w:val="24"/>
          <w:szCs w:val="24"/>
          <w:rtl/>
        </w:rPr>
        <w:t xml:space="preserve">בהינתן </w:t>
      </w:r>
      <w:r w:rsidR="00A062A5">
        <w:rPr>
          <w:rFonts w:cs="David" w:hint="cs"/>
          <w:color w:val="17365D"/>
          <w:sz w:val="24"/>
          <w:szCs w:val="24"/>
          <w:rtl/>
        </w:rPr>
        <w:t>ש</w:t>
      </w:r>
      <w:r w:rsidR="008F62B8">
        <w:rPr>
          <w:rFonts w:cs="David" w:hint="cs"/>
          <w:color w:val="17365D"/>
          <w:sz w:val="24"/>
          <w:szCs w:val="24"/>
          <w:rtl/>
        </w:rPr>
        <w:t xml:space="preserve">השימוש </w:t>
      </w:r>
      <w:r w:rsidR="00A062A5">
        <w:rPr>
          <w:rFonts w:cs="David" w:hint="cs"/>
          <w:color w:val="17365D"/>
          <w:sz w:val="24"/>
          <w:szCs w:val="24"/>
          <w:rtl/>
        </w:rPr>
        <w:t>בטכנולוגיה בקרב כל קבוצות האוכלוסייה</w:t>
      </w:r>
      <w:r w:rsidR="008F62B8">
        <w:rPr>
          <w:rFonts w:cs="David" w:hint="cs"/>
          <w:color w:val="17365D"/>
          <w:sz w:val="24"/>
          <w:szCs w:val="24"/>
          <w:rtl/>
        </w:rPr>
        <w:t xml:space="preserve"> הולך ומתפשט, ובפרט בקרב קבוצות הגיל הצעירות</w:t>
      </w:r>
      <w:r w:rsidR="00A062A5">
        <w:rPr>
          <w:rFonts w:cs="David" w:hint="cs"/>
          <w:color w:val="17365D"/>
          <w:sz w:val="24"/>
          <w:szCs w:val="24"/>
          <w:rtl/>
        </w:rPr>
        <w:t xml:space="preserve">. בנוסף, </w:t>
      </w:r>
      <w:r w:rsidR="001C6713">
        <w:rPr>
          <w:rFonts w:cs="David" w:hint="cs"/>
          <w:color w:val="17365D"/>
          <w:sz w:val="24"/>
          <w:szCs w:val="24"/>
          <w:rtl/>
        </w:rPr>
        <w:t>מחקרים קודמים שהתמקדו בשימוש בטלפון נייד כגורם אפשרי להיארעות מנינגיומה, לא מצאו קשר</w:t>
      </w:r>
      <w:r w:rsidR="001C6713">
        <w:rPr>
          <w:rStyle w:val="ac"/>
          <w:rFonts w:cs="David"/>
          <w:color w:val="17365D"/>
          <w:sz w:val="24"/>
          <w:szCs w:val="24"/>
          <w:rtl/>
        </w:rPr>
        <w:footnoteReference w:id="11"/>
      </w:r>
      <w:r w:rsidR="001C6713">
        <w:rPr>
          <w:rFonts w:cs="David" w:hint="cs"/>
          <w:color w:val="17365D"/>
          <w:sz w:val="24"/>
          <w:szCs w:val="24"/>
          <w:rtl/>
        </w:rPr>
        <w:t xml:space="preserve"> </w:t>
      </w:r>
      <w:r w:rsidR="003A77F6">
        <w:rPr>
          <w:rFonts w:cs="David" w:hint="cs"/>
          <w:color w:val="17365D"/>
          <w:sz w:val="24"/>
          <w:szCs w:val="24"/>
          <w:rtl/>
        </w:rPr>
        <w:t>.</w:t>
      </w:r>
    </w:p>
    <w:p w:rsidR="003A77F6" w:rsidRDefault="003A77F6" w:rsidP="003A77F6">
      <w:pPr>
        <w:pStyle w:val="ad"/>
        <w:spacing w:after="0"/>
        <w:ind w:left="43"/>
        <w:jc w:val="both"/>
        <w:rPr>
          <w:rFonts w:cs="David"/>
          <w:color w:val="17365D"/>
          <w:sz w:val="24"/>
          <w:szCs w:val="24"/>
          <w:rtl/>
        </w:rPr>
      </w:pPr>
    </w:p>
    <w:p w:rsidR="003A77F6" w:rsidRDefault="003A77F6" w:rsidP="00DA4D20">
      <w:pPr>
        <w:pStyle w:val="ad"/>
        <w:spacing w:after="0"/>
        <w:ind w:left="43"/>
        <w:jc w:val="both"/>
        <w:rPr>
          <w:rFonts w:cs="David"/>
          <w:color w:val="17365D"/>
          <w:sz w:val="24"/>
          <w:szCs w:val="24"/>
          <w:rtl/>
        </w:rPr>
      </w:pPr>
      <w:r w:rsidRPr="00DA4D20">
        <w:rPr>
          <w:rFonts w:cs="David" w:hint="cs"/>
          <w:b/>
          <w:bCs/>
          <w:color w:val="17365D"/>
          <w:sz w:val="24"/>
          <w:szCs w:val="24"/>
          <w:rtl/>
        </w:rPr>
        <w:t>לסיכום</w:t>
      </w:r>
      <w:r w:rsidR="00DA4D20">
        <w:rPr>
          <w:rFonts w:cs="David" w:hint="cs"/>
          <w:color w:val="17365D"/>
          <w:sz w:val="24"/>
          <w:szCs w:val="24"/>
          <w:rtl/>
        </w:rPr>
        <w:t>:</w:t>
      </w:r>
      <w:r w:rsidR="00A062A5">
        <w:rPr>
          <w:rFonts w:cs="David" w:hint="cs"/>
          <w:color w:val="17365D"/>
          <w:sz w:val="24"/>
          <w:szCs w:val="24"/>
          <w:rtl/>
        </w:rPr>
        <w:t xml:space="preserve"> </w:t>
      </w:r>
      <w:r w:rsidR="00A062A5" w:rsidRPr="00DA4D20">
        <w:rPr>
          <w:rFonts w:cs="David" w:hint="cs"/>
          <w:b/>
          <w:bCs/>
          <w:color w:val="17365D"/>
          <w:sz w:val="24"/>
          <w:szCs w:val="24"/>
          <w:rtl/>
        </w:rPr>
        <w:t>ב-25 השנים האחרונות (1990-2014) אין עדות לעלייה בהיארעות של גידולי מח ממאירים.</w:t>
      </w:r>
      <w:r w:rsidR="00A062A5">
        <w:rPr>
          <w:rFonts w:cs="David" w:hint="cs"/>
          <w:color w:val="17365D"/>
          <w:sz w:val="24"/>
          <w:szCs w:val="24"/>
          <w:rtl/>
        </w:rPr>
        <w:t xml:space="preserve"> גידולי מח שפירים/בעלי התנהגות לא ברורה עלו ברוב קבוצות האוכלוסייה עד אמצע שנות ה-2000' ולאחר מכן </w:t>
      </w:r>
      <w:r w:rsidR="00DC1092">
        <w:rPr>
          <w:rFonts w:cs="David" w:hint="cs"/>
          <w:color w:val="17365D"/>
          <w:sz w:val="24"/>
          <w:szCs w:val="24"/>
          <w:rtl/>
        </w:rPr>
        <w:t xml:space="preserve">המגמה </w:t>
      </w:r>
      <w:r w:rsidR="00A062A5">
        <w:rPr>
          <w:rFonts w:cs="David" w:hint="cs"/>
          <w:color w:val="17365D"/>
          <w:sz w:val="24"/>
          <w:szCs w:val="24"/>
          <w:rtl/>
        </w:rPr>
        <w:t xml:space="preserve">התייצבה (ערבים) או שנצפתה ירידה מובהקת (יהודים). למרות שלא נראה כי מגמות תחלואה אלה משקפות את מידת השימוש בטלפונים ניידים בישראל, עדיין יש </w:t>
      </w:r>
      <w:r w:rsidR="00C93E4A">
        <w:rPr>
          <w:rFonts w:cs="David" w:hint="cs"/>
          <w:color w:val="17365D"/>
          <w:sz w:val="24"/>
          <w:szCs w:val="24"/>
          <w:rtl/>
        </w:rPr>
        <w:t xml:space="preserve">צורך בהמשך מחקר ומעקב, </w:t>
      </w:r>
      <w:r w:rsidR="00C93E4A" w:rsidRPr="00DA4D20">
        <w:rPr>
          <w:rFonts w:cs="David" w:hint="cs"/>
          <w:b/>
          <w:bCs/>
          <w:color w:val="17365D"/>
          <w:sz w:val="24"/>
          <w:szCs w:val="24"/>
          <w:rtl/>
        </w:rPr>
        <w:t xml:space="preserve">וחשוב </w:t>
      </w:r>
      <w:r w:rsidR="00A062A5" w:rsidRPr="00DA4D20">
        <w:rPr>
          <w:rFonts w:cs="David" w:hint="cs"/>
          <w:b/>
          <w:bCs/>
          <w:color w:val="17365D"/>
          <w:sz w:val="24"/>
          <w:szCs w:val="24"/>
          <w:rtl/>
        </w:rPr>
        <w:t>ליישם את כללי הזהירות המונעת</w:t>
      </w:r>
      <w:r w:rsidR="00A062A5">
        <w:rPr>
          <w:rFonts w:cs="David" w:hint="cs"/>
          <w:color w:val="17365D"/>
          <w:sz w:val="24"/>
          <w:szCs w:val="24"/>
          <w:rtl/>
        </w:rPr>
        <w:t xml:space="preserve">.   </w:t>
      </w:r>
    </w:p>
    <w:p w:rsidR="001C6713" w:rsidRPr="00C84C8B" w:rsidRDefault="001C6713" w:rsidP="001C6713">
      <w:pPr>
        <w:pStyle w:val="ad"/>
        <w:spacing w:after="0"/>
        <w:ind w:left="43"/>
        <w:jc w:val="both"/>
        <w:rPr>
          <w:rFonts w:cs="David"/>
          <w:color w:val="17365D"/>
          <w:sz w:val="24"/>
          <w:szCs w:val="24"/>
          <w:rtl/>
        </w:rPr>
      </w:pPr>
    </w:p>
    <w:p w:rsidR="000A11F9" w:rsidRDefault="000A11F9" w:rsidP="006E2770">
      <w:pPr>
        <w:bidi w:val="0"/>
        <w:spacing w:after="0" w:line="240" w:lineRule="auto"/>
        <w:ind w:left="43"/>
        <w:rPr>
          <w:rFonts w:cs="David"/>
          <w:b/>
          <w:bCs/>
          <w:color w:val="17365D"/>
          <w:sz w:val="28"/>
          <w:szCs w:val="28"/>
        </w:rPr>
      </w:pPr>
      <w:r>
        <w:rPr>
          <w:rFonts w:cs="David"/>
          <w:b/>
          <w:bCs/>
          <w:color w:val="17365D"/>
          <w:sz w:val="28"/>
          <w:szCs w:val="28"/>
          <w:rtl/>
        </w:rPr>
        <w:br w:type="page"/>
      </w:r>
    </w:p>
    <w:p w:rsidR="000A11F9" w:rsidRDefault="001A27CF" w:rsidP="006E2770">
      <w:pPr>
        <w:pStyle w:val="ad"/>
        <w:spacing w:after="0"/>
        <w:ind w:left="43"/>
        <w:jc w:val="both"/>
        <w:rPr>
          <w:rFonts w:cs="David"/>
          <w:b/>
          <w:bCs/>
          <w:color w:val="17365D"/>
          <w:sz w:val="28"/>
          <w:szCs w:val="28"/>
          <w:rtl/>
        </w:rPr>
      </w:pPr>
      <w:r>
        <w:rPr>
          <w:rFonts w:cs="David" w:hint="cs"/>
          <w:b/>
          <w:bCs/>
          <w:color w:val="17365D"/>
          <w:sz w:val="28"/>
          <w:szCs w:val="28"/>
          <w:rtl/>
        </w:rPr>
        <w:t>נספח</w:t>
      </w:r>
    </w:p>
    <w:p w:rsidR="001A27CF" w:rsidRDefault="001A27CF" w:rsidP="001A27CF">
      <w:pPr>
        <w:spacing w:after="0"/>
        <w:jc w:val="both"/>
        <w:rPr>
          <w:rFonts w:cs="David"/>
          <w:color w:val="17365D"/>
          <w:sz w:val="24"/>
          <w:szCs w:val="24"/>
          <w:rtl/>
        </w:rPr>
      </w:pPr>
      <w:r w:rsidRPr="001A27CF">
        <w:rPr>
          <w:rFonts w:cs="David" w:hint="cs"/>
          <w:color w:val="17365D"/>
          <w:sz w:val="24"/>
          <w:szCs w:val="24"/>
          <w:rtl/>
        </w:rPr>
        <w:t>קודי ה</w:t>
      </w:r>
      <w:r>
        <w:rPr>
          <w:rFonts w:cs="David" w:hint="cs"/>
          <w:color w:val="17365D"/>
          <w:sz w:val="24"/>
          <w:szCs w:val="24"/>
          <w:rtl/>
        </w:rPr>
        <w:t>גידולים שנכללו בקבוצת ה"אחרים":</w:t>
      </w:r>
    </w:p>
    <w:p w:rsidR="001A27CF" w:rsidRPr="001A27CF" w:rsidRDefault="001A27CF" w:rsidP="001A27CF">
      <w:pPr>
        <w:spacing w:after="0"/>
        <w:rPr>
          <w:rFonts w:cs="David"/>
          <w:color w:val="17365D"/>
          <w:sz w:val="24"/>
          <w:szCs w:val="24"/>
          <w:rtl/>
        </w:rPr>
      </w:pPr>
      <w:r w:rsidRPr="001A27CF">
        <w:rPr>
          <w:rFonts w:cs="David"/>
          <w:color w:val="17365D"/>
          <w:sz w:val="24"/>
          <w:szCs w:val="24"/>
          <w:rtl/>
        </w:rPr>
        <w:t>800</w:t>
      </w:r>
      <w:r>
        <w:rPr>
          <w:rFonts w:cs="David" w:hint="cs"/>
          <w:color w:val="17365D"/>
          <w:sz w:val="24"/>
          <w:szCs w:val="24"/>
          <w:rtl/>
        </w:rPr>
        <w:t xml:space="preserve">, </w:t>
      </w:r>
      <w:r w:rsidRPr="001A27CF">
        <w:rPr>
          <w:rFonts w:cs="David"/>
          <w:color w:val="17365D"/>
          <w:sz w:val="24"/>
          <w:szCs w:val="24"/>
          <w:rtl/>
        </w:rPr>
        <w:t>802</w:t>
      </w:r>
      <w:r>
        <w:rPr>
          <w:rFonts w:cs="David" w:hint="cs"/>
          <w:color w:val="17365D"/>
          <w:sz w:val="24"/>
          <w:szCs w:val="24"/>
          <w:rtl/>
        </w:rPr>
        <w:t xml:space="preserve">, </w:t>
      </w:r>
      <w:r w:rsidRPr="001A27CF">
        <w:rPr>
          <w:rFonts w:cs="David"/>
          <w:color w:val="17365D"/>
          <w:sz w:val="24"/>
          <w:szCs w:val="24"/>
          <w:rtl/>
        </w:rPr>
        <w:t>805</w:t>
      </w:r>
      <w:r>
        <w:rPr>
          <w:rFonts w:cs="David" w:hint="cs"/>
          <w:color w:val="17365D"/>
          <w:sz w:val="24"/>
          <w:szCs w:val="24"/>
          <w:rtl/>
        </w:rPr>
        <w:t xml:space="preserve">, </w:t>
      </w:r>
      <w:r w:rsidRPr="001A27CF">
        <w:rPr>
          <w:rFonts w:cs="David"/>
          <w:color w:val="17365D"/>
          <w:sz w:val="24"/>
          <w:szCs w:val="24"/>
          <w:rtl/>
        </w:rPr>
        <w:t>807</w:t>
      </w:r>
      <w:r>
        <w:rPr>
          <w:rFonts w:cs="David" w:hint="cs"/>
          <w:color w:val="17365D"/>
          <w:sz w:val="24"/>
          <w:szCs w:val="24"/>
          <w:rtl/>
        </w:rPr>
        <w:t xml:space="preserve">, </w:t>
      </w:r>
      <w:r w:rsidRPr="001A27CF">
        <w:rPr>
          <w:rFonts w:cs="David"/>
          <w:color w:val="17365D"/>
          <w:sz w:val="24"/>
          <w:szCs w:val="24"/>
          <w:rtl/>
        </w:rPr>
        <w:t>814</w:t>
      </w:r>
      <w:r>
        <w:rPr>
          <w:rFonts w:cs="David" w:hint="cs"/>
          <w:color w:val="17365D"/>
          <w:sz w:val="24"/>
          <w:szCs w:val="24"/>
          <w:rtl/>
        </w:rPr>
        <w:t xml:space="preserve">, </w:t>
      </w:r>
      <w:r w:rsidRPr="001A27CF">
        <w:rPr>
          <w:rFonts w:cs="David"/>
          <w:color w:val="17365D"/>
          <w:sz w:val="24"/>
          <w:szCs w:val="24"/>
          <w:rtl/>
        </w:rPr>
        <w:t>827</w:t>
      </w:r>
      <w:r>
        <w:rPr>
          <w:rFonts w:cs="David" w:hint="cs"/>
          <w:color w:val="17365D"/>
          <w:sz w:val="24"/>
          <w:szCs w:val="24"/>
          <w:rtl/>
        </w:rPr>
        <w:t xml:space="preserve">, </w:t>
      </w:r>
      <w:r w:rsidRPr="001A27CF">
        <w:rPr>
          <w:rFonts w:cs="David"/>
          <w:color w:val="17365D"/>
          <w:sz w:val="24"/>
          <w:szCs w:val="24"/>
          <w:rtl/>
        </w:rPr>
        <w:t>828</w:t>
      </w:r>
      <w:r>
        <w:rPr>
          <w:rFonts w:cs="David" w:hint="cs"/>
          <w:color w:val="17365D"/>
          <w:sz w:val="24"/>
          <w:szCs w:val="24"/>
          <w:rtl/>
        </w:rPr>
        <w:t xml:space="preserve">, </w:t>
      </w:r>
      <w:r w:rsidRPr="001A27CF">
        <w:rPr>
          <w:rFonts w:cs="David"/>
          <w:color w:val="17365D"/>
          <w:sz w:val="24"/>
          <w:szCs w:val="24"/>
          <w:rtl/>
        </w:rPr>
        <w:t>832</w:t>
      </w:r>
      <w:r>
        <w:rPr>
          <w:rFonts w:cs="David" w:hint="cs"/>
          <w:color w:val="17365D"/>
          <w:sz w:val="24"/>
          <w:szCs w:val="24"/>
          <w:rtl/>
        </w:rPr>
        <w:t xml:space="preserve">, </w:t>
      </w:r>
      <w:r w:rsidRPr="001A27CF">
        <w:rPr>
          <w:rFonts w:cs="David"/>
          <w:color w:val="17365D"/>
          <w:sz w:val="24"/>
          <w:szCs w:val="24"/>
          <w:rtl/>
        </w:rPr>
        <w:t>833</w:t>
      </w:r>
      <w:r>
        <w:rPr>
          <w:rFonts w:cs="David" w:hint="cs"/>
          <w:color w:val="17365D"/>
          <w:sz w:val="24"/>
          <w:szCs w:val="24"/>
          <w:rtl/>
        </w:rPr>
        <w:t xml:space="preserve">, </w:t>
      </w:r>
      <w:r w:rsidRPr="001A27CF">
        <w:rPr>
          <w:rFonts w:cs="David"/>
          <w:color w:val="17365D"/>
          <w:sz w:val="24"/>
          <w:szCs w:val="24"/>
          <w:rtl/>
        </w:rPr>
        <w:t>834</w:t>
      </w:r>
      <w:r>
        <w:rPr>
          <w:rFonts w:cs="David" w:hint="cs"/>
          <w:color w:val="17365D"/>
          <w:sz w:val="24"/>
          <w:szCs w:val="24"/>
          <w:rtl/>
        </w:rPr>
        <w:t xml:space="preserve">, </w:t>
      </w:r>
      <w:r w:rsidRPr="001A27CF">
        <w:rPr>
          <w:rFonts w:cs="David"/>
          <w:color w:val="17365D"/>
          <w:sz w:val="24"/>
          <w:szCs w:val="24"/>
          <w:rtl/>
        </w:rPr>
        <w:t>850</w:t>
      </w:r>
      <w:r>
        <w:rPr>
          <w:rFonts w:cs="David" w:hint="cs"/>
          <w:color w:val="17365D"/>
          <w:sz w:val="24"/>
          <w:szCs w:val="24"/>
          <w:rtl/>
        </w:rPr>
        <w:t xml:space="preserve">, </w:t>
      </w:r>
      <w:r w:rsidRPr="001A27CF">
        <w:rPr>
          <w:rFonts w:cs="David"/>
          <w:color w:val="17365D"/>
          <w:sz w:val="24"/>
          <w:szCs w:val="24"/>
          <w:rtl/>
        </w:rPr>
        <w:t>852</w:t>
      </w:r>
      <w:r>
        <w:rPr>
          <w:rFonts w:cs="David" w:hint="cs"/>
          <w:color w:val="17365D"/>
          <w:sz w:val="24"/>
          <w:szCs w:val="24"/>
          <w:rtl/>
        </w:rPr>
        <w:t xml:space="preserve">, </w:t>
      </w:r>
      <w:r w:rsidRPr="001A27CF">
        <w:rPr>
          <w:rFonts w:cs="David"/>
          <w:color w:val="17365D"/>
          <w:sz w:val="24"/>
          <w:szCs w:val="24"/>
          <w:rtl/>
        </w:rPr>
        <w:t>855</w:t>
      </w:r>
      <w:r>
        <w:rPr>
          <w:rFonts w:cs="David" w:hint="cs"/>
          <w:color w:val="17365D"/>
          <w:sz w:val="24"/>
          <w:szCs w:val="24"/>
          <w:rtl/>
        </w:rPr>
        <w:t xml:space="preserve">, </w:t>
      </w:r>
      <w:r w:rsidRPr="001A27CF">
        <w:rPr>
          <w:rFonts w:cs="David"/>
          <w:color w:val="17365D"/>
          <w:sz w:val="24"/>
          <w:szCs w:val="24"/>
          <w:rtl/>
        </w:rPr>
        <w:t>868</w:t>
      </w:r>
      <w:r>
        <w:rPr>
          <w:rFonts w:cs="David" w:hint="cs"/>
          <w:color w:val="17365D"/>
          <w:sz w:val="24"/>
          <w:szCs w:val="24"/>
          <w:rtl/>
        </w:rPr>
        <w:t xml:space="preserve">, </w:t>
      </w:r>
      <w:r w:rsidRPr="001A27CF">
        <w:rPr>
          <w:rFonts w:cs="David"/>
          <w:color w:val="17365D"/>
          <w:sz w:val="24"/>
          <w:szCs w:val="24"/>
          <w:rtl/>
        </w:rPr>
        <w:t>872</w:t>
      </w:r>
      <w:r>
        <w:rPr>
          <w:rFonts w:cs="David" w:hint="cs"/>
          <w:color w:val="17365D"/>
          <w:sz w:val="24"/>
          <w:szCs w:val="24"/>
          <w:rtl/>
        </w:rPr>
        <w:t xml:space="preserve">, </w:t>
      </w:r>
      <w:r w:rsidRPr="001A27CF">
        <w:rPr>
          <w:rFonts w:cs="David"/>
          <w:color w:val="17365D"/>
          <w:sz w:val="24"/>
          <w:szCs w:val="24"/>
          <w:rtl/>
        </w:rPr>
        <w:t>880</w:t>
      </w:r>
      <w:r>
        <w:rPr>
          <w:rFonts w:cs="David" w:hint="cs"/>
          <w:color w:val="17365D"/>
          <w:sz w:val="24"/>
          <w:szCs w:val="24"/>
          <w:rtl/>
        </w:rPr>
        <w:t xml:space="preserve">, </w:t>
      </w:r>
      <w:r w:rsidRPr="001A27CF">
        <w:rPr>
          <w:rFonts w:cs="David"/>
          <w:color w:val="17365D"/>
          <w:sz w:val="24"/>
          <w:szCs w:val="24"/>
          <w:rtl/>
        </w:rPr>
        <w:t>881</w:t>
      </w:r>
      <w:r>
        <w:rPr>
          <w:rFonts w:cs="David" w:hint="cs"/>
          <w:color w:val="17365D"/>
          <w:sz w:val="24"/>
          <w:szCs w:val="24"/>
          <w:rtl/>
        </w:rPr>
        <w:t xml:space="preserve">, </w:t>
      </w:r>
      <w:r w:rsidRPr="001A27CF">
        <w:rPr>
          <w:rFonts w:cs="David"/>
          <w:color w:val="17365D"/>
          <w:sz w:val="24"/>
          <w:szCs w:val="24"/>
          <w:rtl/>
        </w:rPr>
        <w:t>882</w:t>
      </w:r>
      <w:r>
        <w:rPr>
          <w:rFonts w:cs="David" w:hint="cs"/>
          <w:color w:val="17365D"/>
          <w:sz w:val="24"/>
          <w:szCs w:val="24"/>
          <w:rtl/>
        </w:rPr>
        <w:t xml:space="preserve">, </w:t>
      </w:r>
      <w:r w:rsidRPr="001A27CF">
        <w:rPr>
          <w:rFonts w:cs="David"/>
          <w:color w:val="17365D"/>
          <w:sz w:val="24"/>
          <w:szCs w:val="24"/>
          <w:rtl/>
        </w:rPr>
        <w:t>883</w:t>
      </w:r>
      <w:r>
        <w:rPr>
          <w:rFonts w:cs="David" w:hint="cs"/>
          <w:color w:val="17365D"/>
          <w:sz w:val="24"/>
          <w:szCs w:val="24"/>
          <w:rtl/>
        </w:rPr>
        <w:t xml:space="preserve">, </w:t>
      </w:r>
      <w:r w:rsidRPr="001A27CF">
        <w:rPr>
          <w:rFonts w:cs="David"/>
          <w:color w:val="17365D"/>
          <w:sz w:val="24"/>
          <w:szCs w:val="24"/>
          <w:rtl/>
        </w:rPr>
        <w:t>885</w:t>
      </w:r>
      <w:r>
        <w:rPr>
          <w:rFonts w:cs="David" w:hint="cs"/>
          <w:color w:val="17365D"/>
          <w:sz w:val="24"/>
          <w:szCs w:val="24"/>
          <w:rtl/>
        </w:rPr>
        <w:t xml:space="preserve">, </w:t>
      </w:r>
      <w:r w:rsidRPr="001A27CF">
        <w:rPr>
          <w:rFonts w:cs="David"/>
          <w:color w:val="17365D"/>
          <w:sz w:val="24"/>
          <w:szCs w:val="24"/>
          <w:rtl/>
        </w:rPr>
        <w:t>891</w:t>
      </w:r>
      <w:r>
        <w:rPr>
          <w:rFonts w:cs="David" w:hint="cs"/>
          <w:color w:val="17365D"/>
          <w:sz w:val="24"/>
          <w:szCs w:val="24"/>
          <w:rtl/>
        </w:rPr>
        <w:t xml:space="preserve">, </w:t>
      </w:r>
      <w:r w:rsidRPr="001A27CF">
        <w:rPr>
          <w:rFonts w:cs="David"/>
          <w:color w:val="17365D"/>
          <w:sz w:val="24"/>
          <w:szCs w:val="24"/>
          <w:rtl/>
        </w:rPr>
        <w:t>896</w:t>
      </w:r>
      <w:r>
        <w:rPr>
          <w:rFonts w:cs="David" w:hint="cs"/>
          <w:color w:val="17365D"/>
          <w:sz w:val="24"/>
          <w:szCs w:val="24"/>
          <w:rtl/>
        </w:rPr>
        <w:t xml:space="preserve">, </w:t>
      </w:r>
      <w:r w:rsidRPr="001A27CF">
        <w:rPr>
          <w:rFonts w:cs="David"/>
          <w:color w:val="17365D"/>
          <w:sz w:val="24"/>
          <w:szCs w:val="24"/>
          <w:rtl/>
        </w:rPr>
        <w:t>906</w:t>
      </w:r>
      <w:r>
        <w:rPr>
          <w:rFonts w:cs="David" w:hint="cs"/>
          <w:color w:val="17365D"/>
          <w:sz w:val="24"/>
          <w:szCs w:val="24"/>
          <w:rtl/>
        </w:rPr>
        <w:t xml:space="preserve">, </w:t>
      </w:r>
      <w:r w:rsidRPr="001A27CF">
        <w:rPr>
          <w:rFonts w:cs="David"/>
          <w:color w:val="17365D"/>
          <w:sz w:val="24"/>
          <w:szCs w:val="24"/>
          <w:rtl/>
        </w:rPr>
        <w:t>907</w:t>
      </w:r>
      <w:r>
        <w:rPr>
          <w:rFonts w:cs="David" w:hint="cs"/>
          <w:color w:val="17365D"/>
          <w:sz w:val="24"/>
          <w:szCs w:val="24"/>
          <w:rtl/>
        </w:rPr>
        <w:t xml:space="preserve">, </w:t>
      </w:r>
      <w:r w:rsidRPr="001A27CF">
        <w:rPr>
          <w:rFonts w:cs="David"/>
          <w:color w:val="17365D"/>
          <w:sz w:val="24"/>
          <w:szCs w:val="24"/>
          <w:rtl/>
        </w:rPr>
        <w:t>908</w:t>
      </w:r>
      <w:r>
        <w:rPr>
          <w:rFonts w:cs="David" w:hint="cs"/>
          <w:color w:val="17365D"/>
          <w:sz w:val="24"/>
          <w:szCs w:val="24"/>
          <w:rtl/>
        </w:rPr>
        <w:t xml:space="preserve">, </w:t>
      </w:r>
      <w:r w:rsidRPr="001A27CF">
        <w:rPr>
          <w:rFonts w:cs="David"/>
          <w:color w:val="17365D"/>
          <w:sz w:val="24"/>
          <w:szCs w:val="24"/>
          <w:rtl/>
        </w:rPr>
        <w:t>917</w:t>
      </w:r>
      <w:r>
        <w:rPr>
          <w:rFonts w:cs="David" w:hint="cs"/>
          <w:color w:val="17365D"/>
          <w:sz w:val="24"/>
          <w:szCs w:val="24"/>
          <w:rtl/>
        </w:rPr>
        <w:t xml:space="preserve">, </w:t>
      </w:r>
      <w:r w:rsidRPr="001A27CF">
        <w:rPr>
          <w:rFonts w:cs="David"/>
          <w:color w:val="17365D"/>
          <w:sz w:val="24"/>
          <w:szCs w:val="24"/>
          <w:rtl/>
        </w:rPr>
        <w:t>918</w:t>
      </w:r>
      <w:r>
        <w:rPr>
          <w:rFonts w:cs="David" w:hint="cs"/>
          <w:color w:val="17365D"/>
          <w:sz w:val="24"/>
          <w:szCs w:val="24"/>
          <w:rtl/>
        </w:rPr>
        <w:t xml:space="preserve">, </w:t>
      </w:r>
      <w:r w:rsidRPr="001A27CF">
        <w:rPr>
          <w:rFonts w:cs="David"/>
          <w:color w:val="17365D"/>
          <w:sz w:val="24"/>
          <w:szCs w:val="24"/>
          <w:rtl/>
        </w:rPr>
        <w:t>919</w:t>
      </w:r>
      <w:r>
        <w:rPr>
          <w:rFonts w:cs="David" w:hint="cs"/>
          <w:color w:val="17365D"/>
          <w:sz w:val="24"/>
          <w:szCs w:val="24"/>
          <w:rtl/>
        </w:rPr>
        <w:t xml:space="preserve">, </w:t>
      </w:r>
      <w:r w:rsidRPr="001A27CF">
        <w:rPr>
          <w:rFonts w:cs="David"/>
          <w:color w:val="17365D"/>
          <w:sz w:val="24"/>
          <w:szCs w:val="24"/>
          <w:rtl/>
        </w:rPr>
        <w:t>922</w:t>
      </w:r>
      <w:r>
        <w:rPr>
          <w:rFonts w:cs="David" w:hint="cs"/>
          <w:color w:val="17365D"/>
          <w:sz w:val="24"/>
          <w:szCs w:val="24"/>
          <w:rtl/>
        </w:rPr>
        <w:t xml:space="preserve">, </w:t>
      </w:r>
      <w:r w:rsidRPr="001A27CF">
        <w:rPr>
          <w:rFonts w:cs="David"/>
          <w:color w:val="17365D"/>
          <w:sz w:val="24"/>
          <w:szCs w:val="24"/>
          <w:rtl/>
        </w:rPr>
        <w:t>925</w:t>
      </w:r>
      <w:r>
        <w:rPr>
          <w:rFonts w:cs="David" w:hint="cs"/>
          <w:color w:val="17365D"/>
          <w:sz w:val="24"/>
          <w:szCs w:val="24"/>
          <w:rtl/>
        </w:rPr>
        <w:t xml:space="preserve">, </w:t>
      </w:r>
      <w:r w:rsidRPr="001A27CF">
        <w:rPr>
          <w:rFonts w:cs="David"/>
          <w:color w:val="17365D"/>
          <w:sz w:val="24"/>
          <w:szCs w:val="24"/>
          <w:rtl/>
        </w:rPr>
        <w:t>935</w:t>
      </w:r>
      <w:r>
        <w:rPr>
          <w:rFonts w:cs="David" w:hint="cs"/>
          <w:color w:val="17365D"/>
          <w:sz w:val="24"/>
          <w:szCs w:val="24"/>
          <w:rtl/>
        </w:rPr>
        <w:t xml:space="preserve">, </w:t>
      </w:r>
      <w:r w:rsidRPr="001A27CF">
        <w:rPr>
          <w:rFonts w:cs="David"/>
          <w:color w:val="17365D"/>
          <w:sz w:val="24"/>
          <w:szCs w:val="24"/>
          <w:rtl/>
        </w:rPr>
        <w:t>936</w:t>
      </w:r>
      <w:r>
        <w:rPr>
          <w:rFonts w:cs="David" w:hint="cs"/>
          <w:color w:val="17365D"/>
          <w:sz w:val="24"/>
          <w:szCs w:val="24"/>
          <w:rtl/>
        </w:rPr>
        <w:t xml:space="preserve">, </w:t>
      </w:r>
      <w:r w:rsidRPr="001A27CF">
        <w:rPr>
          <w:rFonts w:cs="David"/>
          <w:color w:val="17365D"/>
          <w:sz w:val="24"/>
          <w:szCs w:val="24"/>
          <w:rtl/>
        </w:rPr>
        <w:t>937</w:t>
      </w:r>
      <w:r>
        <w:rPr>
          <w:rFonts w:cs="David" w:hint="cs"/>
          <w:color w:val="17365D"/>
          <w:sz w:val="24"/>
          <w:szCs w:val="24"/>
          <w:rtl/>
        </w:rPr>
        <w:t xml:space="preserve">, </w:t>
      </w:r>
      <w:r w:rsidRPr="001A27CF">
        <w:rPr>
          <w:rFonts w:cs="David"/>
          <w:color w:val="17365D"/>
          <w:sz w:val="24"/>
          <w:szCs w:val="24"/>
          <w:rtl/>
        </w:rPr>
        <w:t>949</w:t>
      </w:r>
      <w:r>
        <w:rPr>
          <w:rFonts w:cs="David" w:hint="cs"/>
          <w:color w:val="17365D"/>
          <w:sz w:val="24"/>
          <w:szCs w:val="24"/>
          <w:rtl/>
        </w:rPr>
        <w:t xml:space="preserve">, </w:t>
      </w:r>
      <w:r w:rsidRPr="001A27CF">
        <w:rPr>
          <w:rFonts w:cs="David"/>
          <w:color w:val="17365D"/>
          <w:sz w:val="24"/>
          <w:szCs w:val="24"/>
          <w:rtl/>
        </w:rPr>
        <w:t>950</w:t>
      </w:r>
      <w:r>
        <w:rPr>
          <w:rFonts w:cs="David" w:hint="cs"/>
          <w:color w:val="17365D"/>
          <w:sz w:val="24"/>
          <w:szCs w:val="24"/>
          <w:rtl/>
        </w:rPr>
        <w:t xml:space="preserve">, </w:t>
      </w:r>
      <w:r w:rsidRPr="001A27CF">
        <w:rPr>
          <w:rFonts w:cs="David"/>
          <w:color w:val="17365D"/>
          <w:sz w:val="24"/>
          <w:szCs w:val="24"/>
          <w:rtl/>
        </w:rPr>
        <w:t>952</w:t>
      </w:r>
      <w:r>
        <w:rPr>
          <w:rFonts w:cs="David" w:hint="cs"/>
          <w:color w:val="17365D"/>
          <w:sz w:val="24"/>
          <w:szCs w:val="24"/>
          <w:rtl/>
        </w:rPr>
        <w:t xml:space="preserve">, </w:t>
      </w:r>
      <w:r w:rsidRPr="001A27CF">
        <w:rPr>
          <w:rFonts w:cs="David"/>
          <w:color w:val="17365D"/>
          <w:sz w:val="24"/>
          <w:szCs w:val="24"/>
          <w:rtl/>
        </w:rPr>
        <w:t>954</w:t>
      </w:r>
      <w:r>
        <w:rPr>
          <w:rFonts w:cs="David" w:hint="cs"/>
          <w:color w:val="17365D"/>
          <w:sz w:val="24"/>
          <w:szCs w:val="24"/>
          <w:rtl/>
        </w:rPr>
        <w:t xml:space="preserve">, </w:t>
      </w:r>
      <w:r w:rsidRPr="001A27CF">
        <w:rPr>
          <w:rFonts w:cs="David"/>
          <w:color w:val="17365D"/>
          <w:sz w:val="24"/>
          <w:szCs w:val="24"/>
          <w:rtl/>
        </w:rPr>
        <w:t>956</w:t>
      </w:r>
      <w:r>
        <w:rPr>
          <w:rFonts w:cs="David" w:hint="cs"/>
          <w:color w:val="17365D"/>
          <w:sz w:val="24"/>
          <w:szCs w:val="24"/>
          <w:rtl/>
        </w:rPr>
        <w:t xml:space="preserve">, </w:t>
      </w:r>
      <w:r w:rsidRPr="001A27CF">
        <w:rPr>
          <w:rFonts w:cs="David"/>
          <w:color w:val="17365D"/>
          <w:sz w:val="24"/>
          <w:szCs w:val="24"/>
          <w:rtl/>
        </w:rPr>
        <w:t>957</w:t>
      </w:r>
      <w:r>
        <w:rPr>
          <w:rFonts w:cs="David" w:hint="cs"/>
          <w:color w:val="17365D"/>
          <w:sz w:val="24"/>
          <w:szCs w:val="24"/>
          <w:rtl/>
        </w:rPr>
        <w:t xml:space="preserve">, </w:t>
      </w:r>
      <w:r w:rsidRPr="001A27CF">
        <w:rPr>
          <w:rFonts w:cs="David"/>
          <w:color w:val="17365D"/>
          <w:sz w:val="24"/>
          <w:szCs w:val="24"/>
          <w:rtl/>
        </w:rPr>
        <w:t>958</w:t>
      </w:r>
      <w:r>
        <w:rPr>
          <w:rFonts w:cs="David" w:hint="cs"/>
          <w:color w:val="17365D"/>
          <w:sz w:val="24"/>
          <w:szCs w:val="24"/>
          <w:rtl/>
        </w:rPr>
        <w:t xml:space="preserve">, </w:t>
      </w:r>
      <w:r w:rsidRPr="001A27CF">
        <w:rPr>
          <w:rFonts w:cs="David"/>
          <w:color w:val="17365D"/>
          <w:sz w:val="24"/>
          <w:szCs w:val="24"/>
          <w:rtl/>
        </w:rPr>
        <w:t>965</w:t>
      </w:r>
      <w:r>
        <w:rPr>
          <w:rFonts w:cs="David" w:hint="cs"/>
          <w:color w:val="17365D"/>
          <w:sz w:val="24"/>
          <w:szCs w:val="24"/>
          <w:rtl/>
        </w:rPr>
        <w:t xml:space="preserve">, </w:t>
      </w:r>
      <w:r w:rsidRPr="001A27CF">
        <w:rPr>
          <w:rFonts w:cs="David"/>
          <w:color w:val="17365D"/>
          <w:sz w:val="24"/>
          <w:szCs w:val="24"/>
          <w:rtl/>
        </w:rPr>
        <w:t>966</w:t>
      </w:r>
      <w:r>
        <w:rPr>
          <w:rFonts w:cs="David" w:hint="cs"/>
          <w:color w:val="17365D"/>
          <w:sz w:val="24"/>
          <w:szCs w:val="24"/>
          <w:rtl/>
        </w:rPr>
        <w:t xml:space="preserve">, </w:t>
      </w:r>
      <w:r w:rsidRPr="001A27CF">
        <w:rPr>
          <w:rFonts w:cs="David"/>
          <w:color w:val="17365D"/>
          <w:sz w:val="24"/>
          <w:szCs w:val="24"/>
          <w:rtl/>
        </w:rPr>
        <w:t>967</w:t>
      </w:r>
      <w:r>
        <w:rPr>
          <w:rFonts w:cs="David" w:hint="cs"/>
          <w:color w:val="17365D"/>
          <w:sz w:val="24"/>
          <w:szCs w:val="24"/>
          <w:rtl/>
        </w:rPr>
        <w:t xml:space="preserve">, </w:t>
      </w:r>
      <w:r w:rsidRPr="001A27CF">
        <w:rPr>
          <w:rFonts w:cs="David"/>
          <w:color w:val="17365D"/>
          <w:sz w:val="24"/>
          <w:szCs w:val="24"/>
          <w:rtl/>
        </w:rPr>
        <w:t>968</w:t>
      </w:r>
      <w:r>
        <w:rPr>
          <w:rFonts w:cs="David" w:hint="cs"/>
          <w:color w:val="17365D"/>
          <w:sz w:val="24"/>
          <w:szCs w:val="24"/>
          <w:rtl/>
        </w:rPr>
        <w:t xml:space="preserve">, </w:t>
      </w:r>
      <w:r w:rsidRPr="001A27CF">
        <w:rPr>
          <w:rFonts w:cs="David"/>
          <w:color w:val="17365D"/>
          <w:sz w:val="24"/>
          <w:szCs w:val="24"/>
          <w:rtl/>
        </w:rPr>
        <w:t>973</w:t>
      </w:r>
      <w:r>
        <w:rPr>
          <w:rFonts w:cs="David" w:hint="cs"/>
          <w:color w:val="17365D"/>
          <w:sz w:val="24"/>
          <w:szCs w:val="24"/>
          <w:rtl/>
        </w:rPr>
        <w:t xml:space="preserve">, </w:t>
      </w:r>
      <w:r w:rsidRPr="001A27CF">
        <w:rPr>
          <w:rFonts w:cs="David"/>
          <w:color w:val="17365D"/>
          <w:sz w:val="24"/>
          <w:szCs w:val="24"/>
          <w:rtl/>
        </w:rPr>
        <w:t>975</w:t>
      </w:r>
      <w:r>
        <w:rPr>
          <w:rFonts w:cs="David" w:hint="cs"/>
          <w:color w:val="17365D"/>
          <w:sz w:val="24"/>
          <w:szCs w:val="24"/>
          <w:rtl/>
        </w:rPr>
        <w:t xml:space="preserve">, </w:t>
      </w:r>
      <w:r w:rsidRPr="001A27CF">
        <w:rPr>
          <w:rFonts w:cs="David"/>
          <w:color w:val="17365D"/>
          <w:sz w:val="24"/>
          <w:szCs w:val="24"/>
          <w:rtl/>
        </w:rPr>
        <w:t>976</w:t>
      </w:r>
      <w:r>
        <w:rPr>
          <w:rFonts w:cs="David" w:hint="cs"/>
          <w:color w:val="17365D"/>
          <w:sz w:val="24"/>
          <w:szCs w:val="24"/>
          <w:rtl/>
        </w:rPr>
        <w:t xml:space="preserve">, </w:t>
      </w:r>
      <w:r w:rsidRPr="001A27CF">
        <w:rPr>
          <w:rFonts w:cs="David"/>
          <w:color w:val="17365D"/>
          <w:sz w:val="24"/>
          <w:szCs w:val="24"/>
          <w:rtl/>
        </w:rPr>
        <w:t>986</w:t>
      </w:r>
      <w:r>
        <w:rPr>
          <w:rFonts w:cs="David" w:hint="cs"/>
          <w:color w:val="17365D"/>
          <w:sz w:val="24"/>
          <w:szCs w:val="24"/>
          <w:rtl/>
        </w:rPr>
        <w:t xml:space="preserve">, </w:t>
      </w:r>
      <w:r w:rsidRPr="001A27CF">
        <w:rPr>
          <w:rFonts w:cs="David"/>
          <w:color w:val="17365D"/>
          <w:sz w:val="24"/>
          <w:szCs w:val="24"/>
          <w:rtl/>
        </w:rPr>
        <w:t>997</w:t>
      </w:r>
      <w:r>
        <w:rPr>
          <w:rFonts w:cs="David" w:hint="cs"/>
          <w:color w:val="17365D"/>
          <w:sz w:val="24"/>
          <w:szCs w:val="24"/>
          <w:rtl/>
        </w:rPr>
        <w:t xml:space="preserve"> </w:t>
      </w:r>
    </w:p>
    <w:sectPr w:rsidR="001A27CF" w:rsidRPr="001A27CF" w:rsidSect="00F53462">
      <w:headerReference w:type="default" r:id="rId20"/>
      <w:footerReference w:type="default" r:id="rId21"/>
      <w:pgSz w:w="11906" w:h="16838"/>
      <w:pgMar w:top="1440" w:right="1274" w:bottom="1440" w:left="1800" w:header="708" w:footer="708" w:gutter="0"/>
      <w:pgBorders w:offsetFrom="page">
        <w:top w:val="handmade2" w:sz="31" w:space="24" w:color="0000FF"/>
        <w:left w:val="handmade2" w:sz="31" w:space="24" w:color="0000FF"/>
        <w:bottom w:val="handmade2" w:sz="31" w:space="24" w:color="0000FF"/>
        <w:right w:val="handmade2" w:sz="31" w:space="24" w:color="0000FF"/>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3D9" w:rsidRDefault="006973D9" w:rsidP="001A759E">
      <w:pPr>
        <w:spacing w:after="0" w:line="240" w:lineRule="auto"/>
      </w:pPr>
      <w:r>
        <w:separator/>
      </w:r>
    </w:p>
  </w:endnote>
  <w:endnote w:type="continuationSeparator" w:id="0">
    <w:p w:rsidR="006973D9" w:rsidRDefault="006973D9" w:rsidP="001A7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Trebuchet MS">
    <w:panose1 w:val="020B0603020202020204"/>
    <w:charset w:val="00"/>
    <w:family w:val="swiss"/>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81471832"/>
      <w:docPartObj>
        <w:docPartGallery w:val="Page Numbers (Bottom of Page)"/>
        <w:docPartUnique/>
      </w:docPartObj>
    </w:sdtPr>
    <w:sdtEndPr>
      <w:rPr>
        <w:cs/>
      </w:rPr>
    </w:sdtEndPr>
    <w:sdtContent>
      <w:p w:rsidR="00CB65E9" w:rsidRDefault="00CB65E9">
        <w:pPr>
          <w:pStyle w:val="a5"/>
          <w:jc w:val="center"/>
          <w:rPr>
            <w:rtl/>
            <w:cs/>
          </w:rPr>
        </w:pPr>
        <w:r>
          <w:fldChar w:fldCharType="begin"/>
        </w:r>
        <w:r>
          <w:rPr>
            <w:rtl/>
            <w:cs/>
          </w:rPr>
          <w:instrText>PAGE   \* MERGEFORMAT</w:instrText>
        </w:r>
        <w:r>
          <w:fldChar w:fldCharType="separate"/>
        </w:r>
        <w:r w:rsidR="001414B4" w:rsidRPr="001414B4">
          <w:rPr>
            <w:noProof/>
            <w:rtl/>
            <w:lang w:val="he-IL"/>
          </w:rPr>
          <w:t>11</w:t>
        </w:r>
        <w:r>
          <w:fldChar w:fldCharType="end"/>
        </w:r>
      </w:p>
    </w:sdtContent>
  </w:sdt>
  <w:p w:rsidR="00CB65E9" w:rsidRDefault="00CB65E9" w:rsidP="000A661F">
    <w:pPr>
      <w:pStyle w:val="a5"/>
      <w:tabs>
        <w:tab w:val="clear" w:pos="4153"/>
        <w:tab w:val="clear" w:pos="8306"/>
        <w:tab w:val="left" w:pos="343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3D9" w:rsidRDefault="006973D9" w:rsidP="001A759E">
      <w:pPr>
        <w:spacing w:after="0" w:line="240" w:lineRule="auto"/>
      </w:pPr>
      <w:r>
        <w:separator/>
      </w:r>
    </w:p>
  </w:footnote>
  <w:footnote w:type="continuationSeparator" w:id="0">
    <w:p w:rsidR="006973D9" w:rsidRDefault="006973D9" w:rsidP="001A759E">
      <w:pPr>
        <w:spacing w:after="0" w:line="240" w:lineRule="auto"/>
      </w:pPr>
      <w:r>
        <w:continuationSeparator/>
      </w:r>
    </w:p>
  </w:footnote>
  <w:footnote w:id="1">
    <w:p w:rsidR="00EC01A1" w:rsidRDefault="00EC01A1" w:rsidP="000B55C1">
      <w:pPr>
        <w:pStyle w:val="aa"/>
      </w:pPr>
      <w:r>
        <w:rPr>
          <w:rStyle w:val="ac"/>
        </w:rPr>
        <w:footnoteRef/>
      </w:r>
      <w:r>
        <w:rPr>
          <w:rtl/>
        </w:rPr>
        <w:t xml:space="preserve"> </w:t>
      </w:r>
      <w:r>
        <w:rPr>
          <w:rFonts w:hint="cs"/>
          <w:rtl/>
        </w:rPr>
        <w:t xml:space="preserve">מקור: </w:t>
      </w:r>
      <w:hyperlink r:id="rId1" w:history="1">
        <w:r w:rsidRPr="007019E9">
          <w:rPr>
            <w:rStyle w:val="Hyperlink"/>
          </w:rPr>
          <w:t>https://he.wikipedia.org/wiki/%D7%98%D7%9C%D7%A4%D7%95%D7%9F_%D7%A1%D7%9C%D7%95%D7%9C%D7%A8%D7%99</w:t>
        </w:r>
      </w:hyperlink>
    </w:p>
  </w:footnote>
  <w:footnote w:id="2">
    <w:p w:rsidR="000B55C1" w:rsidRDefault="000B55C1">
      <w:pPr>
        <w:pStyle w:val="aa"/>
      </w:pPr>
      <w:r>
        <w:rPr>
          <w:rStyle w:val="ac"/>
        </w:rPr>
        <w:footnoteRef/>
      </w:r>
      <w:r>
        <w:rPr>
          <w:rtl/>
        </w:rPr>
        <w:t xml:space="preserve"> </w:t>
      </w:r>
      <w:r>
        <w:rPr>
          <w:rFonts w:hint="cs"/>
          <w:rtl/>
        </w:rPr>
        <w:t xml:space="preserve">מקור: אתר </w:t>
      </w:r>
      <w:proofErr w:type="spellStart"/>
      <w:r>
        <w:rPr>
          <w:rFonts w:hint="cs"/>
          <w:rtl/>
        </w:rPr>
        <w:t>תנודע</w:t>
      </w:r>
      <w:proofErr w:type="spellEnd"/>
      <w:r>
        <w:rPr>
          <w:rFonts w:hint="cs"/>
          <w:rtl/>
        </w:rPr>
        <w:t xml:space="preserve"> - </w:t>
      </w:r>
      <w:r w:rsidRPr="000B55C1">
        <w:t>https://www.tnuda.org.il/dictionary/%D7%A7</w:t>
      </w:r>
    </w:p>
  </w:footnote>
  <w:footnote w:id="3">
    <w:p w:rsidR="000B55C1" w:rsidRPr="000B55C1" w:rsidRDefault="000B55C1" w:rsidP="005739A6">
      <w:pPr>
        <w:pStyle w:val="aa"/>
        <w:rPr>
          <w:rtl/>
          <w:lang w:val="en-US"/>
        </w:rPr>
      </w:pPr>
      <w:r>
        <w:rPr>
          <w:rStyle w:val="ac"/>
        </w:rPr>
        <w:footnoteRef/>
      </w:r>
      <w:r>
        <w:rPr>
          <w:rtl/>
        </w:rPr>
        <w:t xml:space="preserve"> </w:t>
      </w:r>
      <w:r>
        <w:rPr>
          <w:rFonts w:hint="cs"/>
          <w:rtl/>
        </w:rPr>
        <w:t xml:space="preserve">על פי </w:t>
      </w:r>
      <w:r>
        <w:rPr>
          <w:rFonts w:hint="cs"/>
          <w:rtl/>
          <w:lang w:val="en-US"/>
        </w:rPr>
        <w:t xml:space="preserve"> הסוכנות הבינלאומית לחקר הסרטן, </w:t>
      </w:r>
      <w:r>
        <w:rPr>
          <w:lang w:val="en-US"/>
        </w:rPr>
        <w:t>IARC</w:t>
      </w:r>
      <w:r>
        <w:rPr>
          <w:rFonts w:hint="cs"/>
          <w:rtl/>
          <w:lang w:val="en-US"/>
        </w:rPr>
        <w:t xml:space="preserve">, של ארגון הבריאות העולמי, </w:t>
      </w:r>
      <w:r>
        <w:rPr>
          <w:lang w:val="en-US"/>
        </w:rPr>
        <w:t>WHO</w:t>
      </w:r>
      <w:r>
        <w:rPr>
          <w:rFonts w:hint="cs"/>
          <w:rtl/>
          <w:lang w:val="en-US"/>
        </w:rPr>
        <w:t>, קרינה מייננת</w:t>
      </w:r>
      <w:r w:rsidRPr="000B55C1">
        <w:rPr>
          <w:rFonts w:hint="cs"/>
          <w:rtl/>
          <w:lang w:val="en-US"/>
        </w:rPr>
        <w:t xml:space="preserve"> </w:t>
      </w:r>
      <w:r>
        <w:rPr>
          <w:rFonts w:hint="cs"/>
          <w:rtl/>
          <w:lang w:val="en-US"/>
        </w:rPr>
        <w:t>מסווגת ברשימת החומרים הקרצינוגנים כמסרטן וודאי בבני אדם (קטגוריה 1).</w:t>
      </w:r>
    </w:p>
  </w:footnote>
  <w:footnote w:id="4">
    <w:p w:rsidR="00A30019" w:rsidRPr="00A30019" w:rsidRDefault="00A30019" w:rsidP="00A30019">
      <w:pPr>
        <w:pStyle w:val="aa"/>
        <w:rPr>
          <w:rtl/>
          <w:lang w:val="en-US"/>
        </w:rPr>
      </w:pPr>
      <w:r>
        <w:rPr>
          <w:rStyle w:val="ac"/>
        </w:rPr>
        <w:footnoteRef/>
      </w:r>
      <w:r>
        <w:rPr>
          <w:rtl/>
        </w:rPr>
        <w:t xml:space="preserve"> </w:t>
      </w:r>
      <w:r w:rsidRPr="00A30019">
        <w:rPr>
          <w:rFonts w:hint="cs"/>
          <w:rtl/>
          <w:lang w:val="en-US"/>
        </w:rPr>
        <w:t>פרופ' סיגל סדצקי (מכון גרטנר, המרכז הרפואי ע"ש שיבא, ואוניברסיטת תל אביב) הובילה את הזרוע הישראלית של מחקר ה-</w:t>
      </w:r>
      <w:r w:rsidRPr="00A30019">
        <w:rPr>
          <w:lang w:val="en-US"/>
        </w:rPr>
        <w:t>Interphone</w:t>
      </w:r>
      <w:r w:rsidRPr="00A30019">
        <w:rPr>
          <w:rFonts w:hint="cs"/>
          <w:rtl/>
          <w:lang w:val="en-US"/>
        </w:rPr>
        <w:t xml:space="preserve"> הבינלאומי (</w:t>
      </w:r>
      <w:r>
        <w:rPr>
          <w:rFonts w:hint="cs"/>
          <w:rtl/>
          <w:lang w:val="en-US"/>
        </w:rPr>
        <w:t xml:space="preserve">שהתמקד בקשר בין שימוש בטלפון סלולרי בקרב </w:t>
      </w:r>
      <w:r w:rsidRPr="00A30019">
        <w:rPr>
          <w:rFonts w:hint="cs"/>
          <w:rtl/>
          <w:lang w:val="en-US"/>
        </w:rPr>
        <w:t>במבוגרים</w:t>
      </w:r>
      <w:r>
        <w:rPr>
          <w:rFonts w:hint="cs"/>
          <w:rtl/>
          <w:lang w:val="en-US"/>
        </w:rPr>
        <w:t xml:space="preserve"> והשלכות בריאותיות אפשריות</w:t>
      </w:r>
      <w:r w:rsidRPr="00A30019">
        <w:rPr>
          <w:rFonts w:hint="cs"/>
          <w:rtl/>
          <w:lang w:val="en-US"/>
        </w:rPr>
        <w:t>), ומובילה את הזרוע הישראלית של מחקר ה-</w:t>
      </w:r>
      <w:proofErr w:type="spellStart"/>
      <w:r w:rsidRPr="00A30019">
        <w:rPr>
          <w:lang w:val="en-US"/>
        </w:rPr>
        <w:t>Mobikid</w:t>
      </w:r>
      <w:proofErr w:type="spellEnd"/>
      <w:r w:rsidRPr="00A30019">
        <w:rPr>
          <w:rFonts w:hint="cs"/>
          <w:rtl/>
          <w:lang w:val="en-US"/>
        </w:rPr>
        <w:t xml:space="preserve"> הבינלאומי (</w:t>
      </w:r>
      <w:r>
        <w:rPr>
          <w:rFonts w:hint="cs"/>
          <w:rtl/>
          <w:lang w:val="en-US"/>
        </w:rPr>
        <w:t xml:space="preserve">שמתמקד </w:t>
      </w:r>
      <w:r w:rsidRPr="00A30019">
        <w:rPr>
          <w:rFonts w:hint="cs"/>
          <w:rtl/>
          <w:lang w:val="en-US"/>
        </w:rPr>
        <w:t>בילדים</w:t>
      </w:r>
      <w:r>
        <w:rPr>
          <w:rFonts w:hint="cs"/>
          <w:rtl/>
          <w:lang w:val="en-US"/>
        </w:rPr>
        <w:t xml:space="preserve"> ובבני נוער</w:t>
      </w:r>
      <w:r w:rsidRPr="00A30019">
        <w:rPr>
          <w:rFonts w:hint="cs"/>
          <w:rtl/>
          <w:lang w:val="en-US"/>
        </w:rPr>
        <w:t xml:space="preserve">).  </w:t>
      </w:r>
    </w:p>
  </w:footnote>
  <w:footnote w:id="5">
    <w:p w:rsidR="004C0534" w:rsidRPr="00E02A02" w:rsidRDefault="004C0534" w:rsidP="004C0534">
      <w:pPr>
        <w:pStyle w:val="aa"/>
        <w:bidi w:val="0"/>
        <w:rPr>
          <w:rFonts w:asciiTheme="majorBidi" w:eastAsiaTheme="minorHAnsi" w:hAnsiTheme="majorBidi" w:cstheme="majorBidi"/>
          <w:lang w:val="en-US" w:eastAsia="en-US"/>
        </w:rPr>
      </w:pPr>
      <w:r>
        <w:rPr>
          <w:rStyle w:val="ac"/>
        </w:rPr>
        <w:footnoteRef/>
      </w:r>
      <w:r>
        <w:rPr>
          <w:rtl/>
        </w:rPr>
        <w:t xml:space="preserve"> </w:t>
      </w:r>
      <w:proofErr w:type="spellStart"/>
      <w:r w:rsidRPr="00E02A02">
        <w:rPr>
          <w:rFonts w:asciiTheme="majorBidi" w:eastAsiaTheme="minorHAnsi" w:hAnsiTheme="majorBidi" w:cstheme="majorBidi"/>
          <w:lang w:val="en-US" w:eastAsia="en-US"/>
        </w:rPr>
        <w:t>Barchana</w:t>
      </w:r>
      <w:proofErr w:type="spellEnd"/>
      <w:r w:rsidRPr="00E02A02">
        <w:rPr>
          <w:rFonts w:asciiTheme="majorBidi" w:eastAsiaTheme="minorHAnsi" w:hAnsiTheme="majorBidi" w:cstheme="majorBidi"/>
          <w:lang w:val="en-US" w:eastAsia="en-US"/>
        </w:rPr>
        <w:t xml:space="preserve"> M, </w:t>
      </w:r>
      <w:proofErr w:type="spellStart"/>
      <w:r w:rsidRPr="00E02A02">
        <w:rPr>
          <w:rFonts w:asciiTheme="majorBidi" w:eastAsiaTheme="minorHAnsi" w:hAnsiTheme="majorBidi" w:cstheme="majorBidi"/>
          <w:lang w:val="en-US" w:eastAsia="en-US"/>
        </w:rPr>
        <w:t>Margaliot</w:t>
      </w:r>
      <w:proofErr w:type="spellEnd"/>
      <w:r w:rsidRPr="00E02A02">
        <w:rPr>
          <w:rFonts w:asciiTheme="majorBidi" w:eastAsiaTheme="minorHAnsi" w:hAnsiTheme="majorBidi" w:cstheme="majorBidi"/>
          <w:lang w:val="en-US" w:eastAsia="en-US"/>
        </w:rPr>
        <w:t xml:space="preserve"> M, </w:t>
      </w:r>
      <w:proofErr w:type="spellStart"/>
      <w:r w:rsidRPr="00E02A02">
        <w:rPr>
          <w:rFonts w:asciiTheme="majorBidi" w:eastAsiaTheme="minorHAnsi" w:hAnsiTheme="majorBidi" w:cstheme="majorBidi"/>
          <w:lang w:val="en-US" w:eastAsia="en-US"/>
        </w:rPr>
        <w:t>Liphshitz</w:t>
      </w:r>
      <w:proofErr w:type="spellEnd"/>
      <w:r w:rsidRPr="00E02A02">
        <w:rPr>
          <w:rFonts w:asciiTheme="majorBidi" w:eastAsiaTheme="minorHAnsi" w:hAnsiTheme="majorBidi" w:cstheme="majorBidi"/>
          <w:lang w:val="en-US" w:eastAsia="en-US"/>
        </w:rPr>
        <w:t xml:space="preserve"> I. Changes in brain glioma incidence and laterality correlates with use </w:t>
      </w:r>
      <w:proofErr w:type="gramStart"/>
      <w:r w:rsidRPr="00E02A02">
        <w:rPr>
          <w:rFonts w:asciiTheme="majorBidi" w:eastAsiaTheme="minorHAnsi" w:hAnsiTheme="majorBidi" w:cstheme="majorBidi"/>
          <w:lang w:val="en-US" w:eastAsia="en-US"/>
        </w:rPr>
        <w:t>of  mobile</w:t>
      </w:r>
      <w:proofErr w:type="gramEnd"/>
      <w:r w:rsidRPr="00E02A02">
        <w:rPr>
          <w:rFonts w:asciiTheme="majorBidi" w:eastAsiaTheme="minorHAnsi" w:hAnsiTheme="majorBidi" w:cstheme="majorBidi"/>
          <w:lang w:val="en-US" w:eastAsia="en-US"/>
        </w:rPr>
        <w:t xml:space="preserve"> phones – a nationwide population-based study in Israel. Asian Pacific J Cancer </w:t>
      </w:r>
      <w:proofErr w:type="spellStart"/>
      <w:r w:rsidRPr="00E02A02">
        <w:rPr>
          <w:rFonts w:asciiTheme="majorBidi" w:eastAsiaTheme="minorHAnsi" w:hAnsiTheme="majorBidi" w:cstheme="majorBidi"/>
          <w:lang w:val="en-US" w:eastAsia="en-US"/>
        </w:rPr>
        <w:t>Prev</w:t>
      </w:r>
      <w:proofErr w:type="spellEnd"/>
      <w:r w:rsidRPr="00E02A02">
        <w:rPr>
          <w:rFonts w:asciiTheme="majorBidi" w:eastAsiaTheme="minorHAnsi" w:hAnsiTheme="majorBidi" w:cstheme="majorBidi"/>
          <w:lang w:val="en-US" w:eastAsia="en-US"/>
        </w:rPr>
        <w:t xml:space="preserve"> 2012</w:t>
      </w:r>
      <w:proofErr w:type="gramStart"/>
      <w:r w:rsidRPr="00E02A02">
        <w:rPr>
          <w:rFonts w:asciiTheme="majorBidi" w:eastAsiaTheme="minorHAnsi" w:hAnsiTheme="majorBidi" w:cstheme="majorBidi"/>
          <w:lang w:val="en-US" w:eastAsia="en-US"/>
        </w:rPr>
        <w:t>;13</w:t>
      </w:r>
      <w:proofErr w:type="gramEnd"/>
      <w:r w:rsidRPr="00E02A02">
        <w:rPr>
          <w:rFonts w:asciiTheme="majorBidi" w:eastAsiaTheme="minorHAnsi" w:hAnsiTheme="majorBidi" w:cstheme="majorBidi"/>
          <w:lang w:val="en-US" w:eastAsia="en-US"/>
        </w:rPr>
        <w:t>(11):5857-5863.</w:t>
      </w:r>
    </w:p>
  </w:footnote>
  <w:footnote w:id="6">
    <w:p w:rsidR="003A77F6" w:rsidRPr="003A77F6" w:rsidRDefault="003A77F6" w:rsidP="003A77F6">
      <w:pPr>
        <w:pStyle w:val="aa"/>
        <w:bidi w:val="0"/>
        <w:rPr>
          <w:rFonts w:asciiTheme="majorBidi" w:eastAsiaTheme="minorHAnsi" w:hAnsiTheme="majorBidi" w:cstheme="majorBidi"/>
          <w:lang w:val="en-US" w:eastAsia="en-US"/>
        </w:rPr>
      </w:pPr>
      <w:r>
        <w:rPr>
          <w:rStyle w:val="ac"/>
        </w:rPr>
        <w:footnoteRef/>
      </w:r>
      <w:r>
        <w:rPr>
          <w:rtl/>
        </w:rPr>
        <w:t xml:space="preserve"> </w:t>
      </w:r>
      <w:r w:rsidRPr="003A77F6">
        <w:rPr>
          <w:rFonts w:asciiTheme="majorBidi" w:eastAsiaTheme="minorHAnsi" w:hAnsiTheme="majorBidi" w:cstheme="majorBidi"/>
          <w:lang w:val="en-US" w:eastAsia="en-US"/>
        </w:rPr>
        <w:t xml:space="preserve">Interphone Study Group, “Brain </w:t>
      </w:r>
      <w:proofErr w:type="spellStart"/>
      <w:r w:rsidRPr="003A77F6">
        <w:rPr>
          <w:rFonts w:asciiTheme="majorBidi" w:eastAsiaTheme="minorHAnsi" w:hAnsiTheme="majorBidi" w:cstheme="majorBidi"/>
          <w:lang w:val="en-US" w:eastAsia="en-US"/>
        </w:rPr>
        <w:t>tumour</w:t>
      </w:r>
      <w:proofErr w:type="spellEnd"/>
      <w:r w:rsidRPr="003A77F6">
        <w:rPr>
          <w:rFonts w:asciiTheme="majorBidi" w:eastAsiaTheme="minorHAnsi" w:hAnsiTheme="majorBidi" w:cstheme="majorBidi"/>
          <w:lang w:val="en-US" w:eastAsia="en-US"/>
        </w:rPr>
        <w:t xml:space="preserve"> risk in relation to mobile telephone use: results of the INTERPHONE international case-control study,” International Journal of Epidemiology</w:t>
      </w:r>
      <w:r>
        <w:rPr>
          <w:rFonts w:asciiTheme="majorBidi" w:eastAsiaTheme="minorHAnsi" w:hAnsiTheme="majorBidi" w:cstheme="majorBidi"/>
          <w:lang w:val="en-US" w:eastAsia="en-US"/>
        </w:rPr>
        <w:t xml:space="preserve"> 2010;</w:t>
      </w:r>
      <w:r w:rsidRPr="003A77F6">
        <w:rPr>
          <w:rFonts w:asciiTheme="majorBidi" w:eastAsiaTheme="minorHAnsi" w:hAnsiTheme="majorBidi" w:cstheme="majorBidi"/>
          <w:lang w:val="en-US" w:eastAsia="en-US"/>
        </w:rPr>
        <w:t xml:space="preserve"> 390</w:t>
      </w:r>
      <w:r>
        <w:rPr>
          <w:rFonts w:asciiTheme="majorBidi" w:eastAsiaTheme="minorHAnsi" w:hAnsiTheme="majorBidi" w:cstheme="majorBidi"/>
          <w:lang w:val="en-US" w:eastAsia="en-US"/>
        </w:rPr>
        <w:t>:</w:t>
      </w:r>
      <w:r w:rsidRPr="003A77F6">
        <w:rPr>
          <w:rFonts w:asciiTheme="majorBidi" w:eastAsiaTheme="minorHAnsi" w:hAnsiTheme="majorBidi" w:cstheme="majorBidi"/>
          <w:lang w:val="en-US" w:eastAsia="en-US"/>
        </w:rPr>
        <w:t xml:space="preserve"> 675–694.</w:t>
      </w:r>
    </w:p>
  </w:footnote>
  <w:footnote w:id="7">
    <w:p w:rsidR="002C42F1" w:rsidRPr="002C42F1" w:rsidRDefault="002C42F1" w:rsidP="002C42F1">
      <w:pPr>
        <w:pStyle w:val="aa"/>
        <w:bidi w:val="0"/>
        <w:rPr>
          <w:rFonts w:asciiTheme="majorBidi" w:eastAsiaTheme="minorHAnsi" w:hAnsiTheme="majorBidi" w:cstheme="majorBidi"/>
          <w:lang w:val="en-US" w:eastAsia="en-US"/>
        </w:rPr>
      </w:pPr>
      <w:r>
        <w:rPr>
          <w:rStyle w:val="ac"/>
        </w:rPr>
        <w:footnoteRef/>
      </w:r>
      <w:r>
        <w:rPr>
          <w:rtl/>
        </w:rPr>
        <w:t xml:space="preserve"> </w:t>
      </w:r>
      <w:proofErr w:type="spellStart"/>
      <w:r w:rsidRPr="002C42F1">
        <w:rPr>
          <w:rFonts w:asciiTheme="majorBidi" w:eastAsiaTheme="minorHAnsi" w:hAnsiTheme="majorBidi" w:cstheme="majorBidi"/>
          <w:lang w:val="en-US" w:eastAsia="en-US"/>
        </w:rPr>
        <w:t>Dolecek</w:t>
      </w:r>
      <w:proofErr w:type="spellEnd"/>
      <w:r w:rsidRPr="002C42F1">
        <w:rPr>
          <w:rFonts w:asciiTheme="majorBidi" w:eastAsiaTheme="minorHAnsi" w:hAnsiTheme="majorBidi" w:cstheme="majorBidi"/>
          <w:lang w:val="en-US" w:eastAsia="en-US"/>
        </w:rPr>
        <w:t xml:space="preserve"> TA, Van Meter Dressier E, Thakkar JP, Liu M, Al </w:t>
      </w:r>
      <w:proofErr w:type="spellStart"/>
      <w:r w:rsidRPr="002C42F1">
        <w:rPr>
          <w:rFonts w:asciiTheme="majorBidi" w:eastAsiaTheme="minorHAnsi" w:hAnsiTheme="majorBidi" w:cstheme="majorBidi"/>
          <w:lang w:val="en-US" w:eastAsia="en-US"/>
        </w:rPr>
        <w:t>Qaisi</w:t>
      </w:r>
      <w:proofErr w:type="spellEnd"/>
      <w:r w:rsidRPr="002C42F1">
        <w:rPr>
          <w:rFonts w:asciiTheme="majorBidi" w:eastAsiaTheme="minorHAnsi" w:hAnsiTheme="majorBidi" w:cstheme="majorBidi"/>
          <w:lang w:val="en-US" w:eastAsia="en-US"/>
        </w:rPr>
        <w:t xml:space="preserve"> A, </w:t>
      </w:r>
      <w:proofErr w:type="spellStart"/>
      <w:r w:rsidRPr="002C42F1">
        <w:rPr>
          <w:rFonts w:asciiTheme="majorBidi" w:eastAsiaTheme="minorHAnsi" w:hAnsiTheme="majorBidi" w:cstheme="majorBidi"/>
          <w:lang w:val="en-US" w:eastAsia="en-US"/>
        </w:rPr>
        <w:t>Villano</w:t>
      </w:r>
      <w:proofErr w:type="spellEnd"/>
      <w:r w:rsidRPr="002C42F1">
        <w:rPr>
          <w:rFonts w:asciiTheme="majorBidi" w:eastAsiaTheme="minorHAnsi" w:hAnsiTheme="majorBidi" w:cstheme="majorBidi"/>
          <w:lang w:val="en-US" w:eastAsia="en-US"/>
        </w:rPr>
        <w:t xml:space="preserve"> JL. </w:t>
      </w:r>
      <w:proofErr w:type="gramStart"/>
      <w:r w:rsidRPr="002C42F1">
        <w:rPr>
          <w:rFonts w:asciiTheme="majorBidi" w:eastAsiaTheme="minorHAnsi" w:hAnsiTheme="majorBidi" w:cstheme="majorBidi"/>
          <w:lang w:val="en-US" w:eastAsia="en-US"/>
        </w:rPr>
        <w:t xml:space="preserve">Epidemiology of </w:t>
      </w:r>
      <w:proofErr w:type="spellStart"/>
      <w:r w:rsidRPr="002C42F1">
        <w:rPr>
          <w:rFonts w:asciiTheme="majorBidi" w:eastAsiaTheme="minorHAnsi" w:hAnsiTheme="majorBidi" w:cstheme="majorBidi"/>
          <w:lang w:val="en-US" w:eastAsia="en-US"/>
        </w:rPr>
        <w:t>meningiomas</w:t>
      </w:r>
      <w:proofErr w:type="spellEnd"/>
      <w:r w:rsidRPr="002C42F1">
        <w:rPr>
          <w:rFonts w:asciiTheme="majorBidi" w:eastAsiaTheme="minorHAnsi" w:hAnsiTheme="majorBidi" w:cstheme="majorBidi"/>
          <w:lang w:val="en-US" w:eastAsia="en-US"/>
        </w:rPr>
        <w:t xml:space="preserve"> post public law 107-206 – The Benign Brain Tumor Cancer Registries Act.</w:t>
      </w:r>
      <w:proofErr w:type="gramEnd"/>
      <w:r w:rsidRPr="002C42F1">
        <w:rPr>
          <w:rFonts w:asciiTheme="majorBidi" w:eastAsiaTheme="minorHAnsi" w:hAnsiTheme="majorBidi" w:cstheme="majorBidi"/>
          <w:lang w:val="en-US" w:eastAsia="en-US"/>
        </w:rPr>
        <w:t xml:space="preserve"> Cancer 2015</w:t>
      </w:r>
      <w:proofErr w:type="gramStart"/>
      <w:r w:rsidRPr="002C42F1">
        <w:rPr>
          <w:rFonts w:asciiTheme="majorBidi" w:eastAsiaTheme="minorHAnsi" w:hAnsiTheme="majorBidi" w:cstheme="majorBidi"/>
          <w:lang w:val="en-US" w:eastAsia="en-US"/>
        </w:rPr>
        <w:t>;121</w:t>
      </w:r>
      <w:proofErr w:type="gramEnd"/>
      <w:r w:rsidRPr="002C42F1">
        <w:rPr>
          <w:rFonts w:asciiTheme="majorBidi" w:eastAsiaTheme="minorHAnsi" w:hAnsiTheme="majorBidi" w:cstheme="majorBidi"/>
          <w:lang w:val="en-US" w:eastAsia="en-US"/>
        </w:rPr>
        <w:t>(14):2400-2410.</w:t>
      </w:r>
    </w:p>
  </w:footnote>
  <w:footnote w:id="8">
    <w:p w:rsidR="002C42F1" w:rsidRPr="002714B6" w:rsidRDefault="002C42F1" w:rsidP="002C42F1">
      <w:pPr>
        <w:pStyle w:val="aa"/>
        <w:bidi w:val="0"/>
        <w:jc w:val="both"/>
        <w:rPr>
          <w:lang w:val="en-US"/>
        </w:rPr>
      </w:pPr>
      <w:r w:rsidRPr="002714B6">
        <w:rPr>
          <w:rStyle w:val="ac"/>
          <w:rFonts w:asciiTheme="majorBidi" w:hAnsiTheme="majorBidi" w:cstheme="majorBidi"/>
        </w:rPr>
        <w:footnoteRef/>
      </w:r>
      <w:r w:rsidRPr="002714B6">
        <w:rPr>
          <w:rFonts w:asciiTheme="majorBidi" w:hAnsiTheme="majorBidi" w:cstheme="majorBidi"/>
          <w:rtl/>
        </w:rPr>
        <w:t xml:space="preserve"> </w:t>
      </w:r>
      <w:r w:rsidRPr="002714B6">
        <w:rPr>
          <w:rFonts w:asciiTheme="majorBidi" w:eastAsiaTheme="minorHAnsi" w:hAnsiTheme="majorBidi" w:cstheme="majorBidi"/>
          <w:lang w:val="en-US" w:eastAsia="en-US"/>
        </w:rPr>
        <w:t xml:space="preserve">Steele CB, Thomas CC, Henley SJ, et al. Vital Signs: Trends in Incidence of Cancers Associated with Overweight and Obesity — United States, 2005–2014. MMWR </w:t>
      </w:r>
      <w:proofErr w:type="spellStart"/>
      <w:r w:rsidRPr="002714B6">
        <w:rPr>
          <w:rFonts w:asciiTheme="majorBidi" w:eastAsiaTheme="minorHAnsi" w:hAnsiTheme="majorBidi" w:cstheme="majorBidi"/>
          <w:lang w:val="en-US" w:eastAsia="en-US"/>
        </w:rPr>
        <w:t>Morb</w:t>
      </w:r>
      <w:proofErr w:type="spellEnd"/>
      <w:r w:rsidRPr="002714B6">
        <w:rPr>
          <w:rFonts w:asciiTheme="majorBidi" w:eastAsiaTheme="minorHAnsi" w:hAnsiTheme="majorBidi" w:cstheme="majorBidi"/>
          <w:lang w:val="en-US" w:eastAsia="en-US"/>
        </w:rPr>
        <w:t xml:space="preserve"> Mortal </w:t>
      </w:r>
      <w:proofErr w:type="spellStart"/>
      <w:r w:rsidRPr="002714B6">
        <w:rPr>
          <w:rFonts w:asciiTheme="majorBidi" w:eastAsiaTheme="minorHAnsi" w:hAnsiTheme="majorBidi" w:cstheme="majorBidi"/>
          <w:lang w:val="en-US" w:eastAsia="en-US"/>
        </w:rPr>
        <w:t>Wkly</w:t>
      </w:r>
      <w:proofErr w:type="spellEnd"/>
      <w:r w:rsidRPr="002714B6">
        <w:rPr>
          <w:rFonts w:asciiTheme="majorBidi" w:eastAsiaTheme="minorHAnsi" w:hAnsiTheme="majorBidi" w:cstheme="majorBidi"/>
          <w:lang w:val="en-US" w:eastAsia="en-US"/>
        </w:rPr>
        <w:t xml:space="preserve"> Rep 2017</w:t>
      </w:r>
      <w:proofErr w:type="gramStart"/>
      <w:r w:rsidRPr="002714B6">
        <w:rPr>
          <w:rFonts w:asciiTheme="majorBidi" w:eastAsiaTheme="minorHAnsi" w:hAnsiTheme="majorBidi" w:cstheme="majorBidi"/>
          <w:lang w:val="en-US" w:eastAsia="en-US"/>
        </w:rPr>
        <w:t>;66:1052</w:t>
      </w:r>
      <w:proofErr w:type="gramEnd"/>
      <w:r w:rsidRPr="002714B6">
        <w:rPr>
          <w:rFonts w:asciiTheme="majorBidi" w:eastAsiaTheme="minorHAnsi" w:hAnsiTheme="majorBidi" w:cstheme="majorBidi"/>
          <w:lang w:val="en-US" w:eastAsia="en-US"/>
        </w:rPr>
        <w:t xml:space="preserve">–1058. DOI: </w:t>
      </w:r>
      <w:hyperlink r:id="rId2" w:history="1">
        <w:r w:rsidRPr="002714B6">
          <w:rPr>
            <w:rFonts w:asciiTheme="majorBidi" w:eastAsiaTheme="minorHAnsi" w:hAnsiTheme="majorBidi" w:cstheme="majorBidi"/>
            <w:color w:val="0000FF"/>
            <w:u w:val="single"/>
            <w:lang w:val="en-US" w:eastAsia="en-US"/>
          </w:rPr>
          <w:t>http://dx.doi.org/10.15585/mmwr.mm6639e1</w:t>
        </w:r>
      </w:hyperlink>
    </w:p>
  </w:footnote>
  <w:footnote w:id="9">
    <w:p w:rsidR="002714B6" w:rsidRPr="002714B6" w:rsidRDefault="002714B6" w:rsidP="002714B6">
      <w:pPr>
        <w:pStyle w:val="aa"/>
        <w:bidi w:val="0"/>
        <w:rPr>
          <w:rFonts w:asciiTheme="majorBidi" w:hAnsiTheme="majorBidi" w:cstheme="majorBidi"/>
          <w:lang w:val="en-US"/>
        </w:rPr>
      </w:pPr>
      <w:r>
        <w:rPr>
          <w:rStyle w:val="ac"/>
        </w:rPr>
        <w:footnoteRef/>
      </w:r>
      <w:r>
        <w:rPr>
          <w:rtl/>
        </w:rPr>
        <w:t xml:space="preserve"> </w:t>
      </w:r>
      <w:proofErr w:type="spellStart"/>
      <w:r w:rsidRPr="002714B6">
        <w:rPr>
          <w:rFonts w:asciiTheme="majorBidi" w:hAnsiTheme="majorBidi" w:cstheme="majorBidi"/>
        </w:rPr>
        <w:t>Larjavaara</w:t>
      </w:r>
      <w:proofErr w:type="spellEnd"/>
      <w:r w:rsidRPr="002714B6">
        <w:rPr>
          <w:rFonts w:asciiTheme="majorBidi" w:hAnsiTheme="majorBidi" w:cstheme="majorBidi"/>
        </w:rPr>
        <w:t xml:space="preserve"> S, </w:t>
      </w:r>
      <w:proofErr w:type="spellStart"/>
      <w:r w:rsidRPr="002714B6">
        <w:rPr>
          <w:rFonts w:asciiTheme="majorBidi" w:hAnsiTheme="majorBidi" w:cstheme="majorBidi"/>
        </w:rPr>
        <w:t>Haapasalo</w:t>
      </w:r>
      <w:proofErr w:type="spellEnd"/>
      <w:r w:rsidRPr="002714B6">
        <w:rPr>
          <w:rFonts w:asciiTheme="majorBidi" w:hAnsiTheme="majorBidi" w:cstheme="majorBidi"/>
        </w:rPr>
        <w:t xml:space="preserve"> H, </w:t>
      </w:r>
      <w:proofErr w:type="spellStart"/>
      <w:r w:rsidRPr="002714B6">
        <w:rPr>
          <w:rFonts w:asciiTheme="majorBidi" w:hAnsiTheme="majorBidi" w:cstheme="majorBidi"/>
        </w:rPr>
        <w:t>Sankila</w:t>
      </w:r>
      <w:proofErr w:type="spellEnd"/>
      <w:r w:rsidRPr="002714B6">
        <w:rPr>
          <w:rFonts w:asciiTheme="majorBidi" w:hAnsiTheme="majorBidi" w:cstheme="majorBidi"/>
        </w:rPr>
        <w:t xml:space="preserve"> R, </w:t>
      </w:r>
      <w:proofErr w:type="spellStart"/>
      <w:r w:rsidRPr="002714B6">
        <w:rPr>
          <w:rFonts w:asciiTheme="majorBidi" w:hAnsiTheme="majorBidi" w:cstheme="majorBidi"/>
        </w:rPr>
        <w:t>Helén</w:t>
      </w:r>
      <w:proofErr w:type="spellEnd"/>
      <w:r w:rsidRPr="002714B6">
        <w:rPr>
          <w:rFonts w:asciiTheme="majorBidi" w:hAnsiTheme="majorBidi" w:cstheme="majorBidi"/>
        </w:rPr>
        <w:t xml:space="preserve"> P,  </w:t>
      </w:r>
      <w:proofErr w:type="spellStart"/>
      <w:r w:rsidRPr="002714B6">
        <w:rPr>
          <w:rFonts w:asciiTheme="majorBidi" w:hAnsiTheme="majorBidi" w:cstheme="majorBidi"/>
        </w:rPr>
        <w:t>Auvinen</w:t>
      </w:r>
      <w:proofErr w:type="spellEnd"/>
      <w:r w:rsidRPr="002714B6">
        <w:rPr>
          <w:rFonts w:asciiTheme="majorBidi" w:hAnsiTheme="majorBidi" w:cstheme="majorBidi"/>
        </w:rPr>
        <w:t xml:space="preserve"> A.  Is the incidence of </w:t>
      </w:r>
      <w:proofErr w:type="spellStart"/>
      <w:r w:rsidRPr="002714B6">
        <w:rPr>
          <w:rFonts w:asciiTheme="majorBidi" w:hAnsiTheme="majorBidi" w:cstheme="majorBidi"/>
        </w:rPr>
        <w:t>meningiomas</w:t>
      </w:r>
      <w:proofErr w:type="spellEnd"/>
      <w:r w:rsidRPr="002714B6">
        <w:rPr>
          <w:rFonts w:asciiTheme="majorBidi" w:hAnsiTheme="majorBidi" w:cstheme="majorBidi"/>
        </w:rPr>
        <w:t xml:space="preserve"> underestimated? A regional survey. British Journal of Cancer</w:t>
      </w:r>
      <w:r w:rsidRPr="002714B6">
        <w:rPr>
          <w:rFonts w:asciiTheme="majorBidi" w:hAnsiTheme="majorBidi" w:cstheme="majorBidi"/>
          <w:lang w:val="en-US"/>
        </w:rPr>
        <w:t xml:space="preserve">, </w:t>
      </w:r>
      <w:r w:rsidRPr="002714B6">
        <w:rPr>
          <w:rFonts w:asciiTheme="majorBidi" w:hAnsiTheme="majorBidi" w:cstheme="majorBidi"/>
        </w:rPr>
        <w:t>2008</w:t>
      </w:r>
      <w:r w:rsidRPr="002714B6">
        <w:rPr>
          <w:rFonts w:asciiTheme="majorBidi" w:hAnsiTheme="majorBidi" w:cstheme="majorBidi"/>
          <w:lang w:val="en-US"/>
        </w:rPr>
        <w:t>;</w:t>
      </w:r>
      <w:r w:rsidRPr="002714B6">
        <w:rPr>
          <w:rFonts w:asciiTheme="majorBidi" w:hAnsiTheme="majorBidi" w:cstheme="majorBidi"/>
        </w:rPr>
        <w:t>99</w:t>
      </w:r>
      <w:r w:rsidRPr="002714B6">
        <w:rPr>
          <w:rFonts w:asciiTheme="majorBidi" w:hAnsiTheme="majorBidi" w:cstheme="majorBidi"/>
          <w:lang w:val="en-US"/>
        </w:rPr>
        <w:t>:</w:t>
      </w:r>
      <w:r w:rsidRPr="002714B6">
        <w:rPr>
          <w:rFonts w:asciiTheme="majorBidi" w:hAnsiTheme="majorBidi" w:cstheme="majorBidi"/>
        </w:rPr>
        <w:t>182-</w:t>
      </w:r>
      <w:r w:rsidRPr="002714B6">
        <w:rPr>
          <w:rFonts w:asciiTheme="majorBidi" w:hAnsiTheme="majorBidi" w:cstheme="majorBidi"/>
          <w:lang w:val="en-US"/>
        </w:rPr>
        <w:t>18</w:t>
      </w:r>
      <w:r w:rsidRPr="002714B6">
        <w:rPr>
          <w:rFonts w:asciiTheme="majorBidi" w:hAnsiTheme="majorBidi" w:cstheme="majorBidi"/>
        </w:rPr>
        <w:t>4</w:t>
      </w:r>
      <w:r w:rsidRPr="002714B6">
        <w:rPr>
          <w:rFonts w:asciiTheme="majorBidi" w:hAnsiTheme="majorBidi" w:cstheme="majorBidi"/>
          <w:lang w:val="en-US"/>
        </w:rPr>
        <w:t>.</w:t>
      </w:r>
    </w:p>
  </w:footnote>
  <w:footnote w:id="10">
    <w:p w:rsidR="002714B6" w:rsidRPr="002C42F1" w:rsidRDefault="002714B6" w:rsidP="002C42F1">
      <w:pPr>
        <w:pStyle w:val="aa"/>
        <w:bidi w:val="0"/>
        <w:jc w:val="both"/>
        <w:rPr>
          <w:rFonts w:asciiTheme="majorBidi" w:eastAsiaTheme="minorHAnsi" w:hAnsiTheme="majorBidi" w:cstheme="majorBidi"/>
          <w:lang w:val="en-US" w:eastAsia="en-US"/>
        </w:rPr>
      </w:pPr>
      <w:r>
        <w:rPr>
          <w:rStyle w:val="ac"/>
        </w:rPr>
        <w:footnoteRef/>
      </w:r>
      <w:r>
        <w:rPr>
          <w:rtl/>
        </w:rPr>
        <w:t xml:space="preserve"> </w:t>
      </w:r>
      <w:r w:rsidR="002C42F1" w:rsidRPr="002C42F1">
        <w:rPr>
          <w:rFonts w:asciiTheme="majorBidi" w:eastAsiaTheme="minorHAnsi" w:hAnsiTheme="majorBidi" w:cstheme="majorBidi"/>
          <w:lang w:val="en-US" w:eastAsia="en-US"/>
        </w:rPr>
        <w:t xml:space="preserve">Shao C, Bai L-P, Qi Z-Y, Hui G-Z, Wang Z. Overweight, obesity and meningioma risk: a meta-analysis. </w:t>
      </w:r>
      <w:proofErr w:type="spellStart"/>
      <w:r w:rsidR="002C42F1" w:rsidRPr="002C42F1">
        <w:rPr>
          <w:rFonts w:asciiTheme="majorBidi" w:eastAsiaTheme="minorHAnsi" w:hAnsiTheme="majorBidi" w:cstheme="majorBidi"/>
          <w:lang w:val="en-US" w:eastAsia="en-US"/>
        </w:rPr>
        <w:t>PLoS</w:t>
      </w:r>
      <w:proofErr w:type="spellEnd"/>
      <w:r w:rsidR="002C42F1" w:rsidRPr="002C42F1">
        <w:rPr>
          <w:rFonts w:asciiTheme="majorBidi" w:eastAsiaTheme="minorHAnsi" w:hAnsiTheme="majorBidi" w:cstheme="majorBidi"/>
          <w:lang w:val="en-US" w:eastAsia="en-US"/>
        </w:rPr>
        <w:t xml:space="preserve"> one 2014</w:t>
      </w:r>
      <w:proofErr w:type="gramStart"/>
      <w:r w:rsidR="002C42F1" w:rsidRPr="002C42F1">
        <w:rPr>
          <w:rFonts w:asciiTheme="majorBidi" w:eastAsiaTheme="minorHAnsi" w:hAnsiTheme="majorBidi" w:cstheme="majorBidi"/>
          <w:lang w:val="en-US" w:eastAsia="en-US"/>
        </w:rPr>
        <w:t>;9</w:t>
      </w:r>
      <w:proofErr w:type="gramEnd"/>
      <w:r w:rsidR="002C42F1" w:rsidRPr="002C42F1">
        <w:rPr>
          <w:rFonts w:asciiTheme="majorBidi" w:eastAsiaTheme="minorHAnsi" w:hAnsiTheme="majorBidi" w:cstheme="majorBidi"/>
          <w:lang w:val="en-US" w:eastAsia="en-US"/>
        </w:rPr>
        <w:t>(2):e90167.</w:t>
      </w:r>
    </w:p>
  </w:footnote>
  <w:footnote w:id="11">
    <w:p w:rsidR="001C6713" w:rsidRPr="00EC0836" w:rsidRDefault="001C6713" w:rsidP="00163FF3">
      <w:pPr>
        <w:pStyle w:val="aa"/>
        <w:bidi w:val="0"/>
        <w:rPr>
          <w:rFonts w:asciiTheme="majorBidi" w:eastAsiaTheme="minorHAnsi" w:hAnsiTheme="majorBidi" w:cstheme="majorBidi"/>
          <w:lang w:val="en-US" w:eastAsia="en-US"/>
        </w:rPr>
      </w:pPr>
      <w:r>
        <w:rPr>
          <w:rStyle w:val="ac"/>
        </w:rPr>
        <w:footnoteRef/>
      </w:r>
      <w:proofErr w:type="spellStart"/>
      <w:r w:rsidR="00163FF3">
        <w:rPr>
          <w:rFonts w:asciiTheme="majorBidi" w:eastAsiaTheme="minorHAnsi" w:hAnsiTheme="majorBidi" w:cstheme="majorBidi"/>
          <w:lang w:val="en-US" w:eastAsia="en-US"/>
        </w:rPr>
        <w:t>Eng</w:t>
      </w:r>
      <w:proofErr w:type="spellEnd"/>
      <w:r w:rsidR="00163FF3">
        <w:rPr>
          <w:rFonts w:asciiTheme="majorBidi" w:eastAsiaTheme="minorHAnsi" w:hAnsiTheme="majorBidi" w:cstheme="majorBidi"/>
          <w:lang w:val="en-US" w:eastAsia="en-US"/>
        </w:rPr>
        <w:t xml:space="preserve"> L. The relationship between mobile phone use and risk of brain tumor: a systematic review and meta-analysis of trails in the last decade. Chines </w:t>
      </w:r>
      <w:proofErr w:type="spellStart"/>
      <w:r w:rsidR="00163FF3">
        <w:rPr>
          <w:rFonts w:asciiTheme="majorBidi" w:eastAsiaTheme="minorHAnsi" w:hAnsiTheme="majorBidi" w:cstheme="majorBidi"/>
          <w:lang w:val="en-US" w:eastAsia="en-US"/>
        </w:rPr>
        <w:t>Neurosurg</w:t>
      </w:r>
      <w:proofErr w:type="spellEnd"/>
      <w:r w:rsidR="00163FF3">
        <w:rPr>
          <w:rFonts w:asciiTheme="majorBidi" w:eastAsiaTheme="minorHAnsi" w:hAnsiTheme="majorBidi" w:cstheme="majorBidi"/>
          <w:lang w:val="en-US" w:eastAsia="en-US"/>
        </w:rPr>
        <w:t xml:space="preserve"> J 2016</w:t>
      </w:r>
      <w:proofErr w:type="gramStart"/>
      <w:r w:rsidR="00163FF3">
        <w:rPr>
          <w:rFonts w:asciiTheme="majorBidi" w:eastAsiaTheme="minorHAnsi" w:hAnsiTheme="majorBidi" w:cstheme="majorBidi"/>
          <w:lang w:val="en-US" w:eastAsia="en-US"/>
        </w:rPr>
        <w:t>;2:38</w:t>
      </w:r>
      <w:proofErr w:type="gramEnd"/>
      <w:r w:rsidR="00163FF3">
        <w:rPr>
          <w:rFonts w:asciiTheme="majorBidi" w:eastAsiaTheme="minorHAnsi" w:hAnsiTheme="majorBidi" w:cstheme="majorBidi"/>
          <w:lang w:val="en-US" w:eastAsia="en-US"/>
        </w:rPr>
        <w:t xml:space="preserve">. </w:t>
      </w:r>
      <w:r w:rsidR="00163FF3" w:rsidRPr="00163FF3">
        <w:rPr>
          <w:rFonts w:asciiTheme="majorBidi" w:eastAsiaTheme="minorHAnsi" w:hAnsiTheme="majorBidi" w:cstheme="majorBidi"/>
          <w:lang w:val="en-US" w:eastAsia="en-US"/>
        </w:rPr>
        <w:t>https://doi.org/10.1186/s41016-016-0059-y</w:t>
      </w:r>
      <w:r w:rsidRPr="00EC0836">
        <w:rPr>
          <w:rFonts w:asciiTheme="majorBidi" w:eastAsiaTheme="minorHAnsi" w:hAnsiTheme="majorBidi" w:cstheme="majorBidi"/>
          <w:rtl/>
          <w:lang w:val="en-US" w:eastAsia="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5E9" w:rsidRDefault="00CB65E9" w:rsidP="001A759E">
    <w:pPr>
      <w:pStyle w:val="a3"/>
      <w:jc w:val="center"/>
      <w:rPr>
        <w:rtl/>
      </w:rPr>
    </w:pPr>
    <w:r>
      <w:rPr>
        <w:b/>
        <w:bCs/>
        <w:noProof/>
        <w:sz w:val="36"/>
        <w:szCs w:val="36"/>
      </w:rPr>
      <w:drawing>
        <wp:inline distT="0" distB="0" distL="0" distR="0" wp14:anchorId="15610F58" wp14:editId="4796588B">
          <wp:extent cx="1343025" cy="1285875"/>
          <wp:effectExtent l="0" t="0" r="9525" b="9525"/>
          <wp:docPr id="25" name="תמונה 1" descr="תיאור: תיאור: תיאור: Briut Logo 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יאור: תיאור: Briut Logo Smal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285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5CE0"/>
    <w:multiLevelType w:val="hybridMultilevel"/>
    <w:tmpl w:val="7F1CD29C"/>
    <w:lvl w:ilvl="0" w:tplc="D57A3658">
      <w:start w:val="1"/>
      <w:numFmt w:val="bullet"/>
      <w:lvlText w:val="l"/>
      <w:lvlJc w:val="left"/>
      <w:pPr>
        <w:ind w:left="100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23998"/>
    <w:multiLevelType w:val="hybridMultilevel"/>
    <w:tmpl w:val="51B8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95328"/>
    <w:multiLevelType w:val="hybridMultilevel"/>
    <w:tmpl w:val="BBE60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517F9C"/>
    <w:multiLevelType w:val="hybridMultilevel"/>
    <w:tmpl w:val="C900AFBC"/>
    <w:lvl w:ilvl="0" w:tplc="2F86B39E">
      <w:start w:val="1"/>
      <w:numFmt w:val="decimal"/>
      <w:lvlText w:val="%1."/>
      <w:lvlJc w:val="left"/>
      <w:pPr>
        <w:ind w:left="786" w:hanging="360"/>
      </w:pPr>
      <w:rPr>
        <w:rFonts w:hint="default"/>
        <w:color w:val="17365D"/>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D42027"/>
    <w:multiLevelType w:val="hybridMultilevel"/>
    <w:tmpl w:val="0F385E66"/>
    <w:lvl w:ilvl="0" w:tplc="04090013">
      <w:start w:val="1"/>
      <w:numFmt w:val="hebrew1"/>
      <w:lvlText w:val="%1."/>
      <w:lvlJc w:val="center"/>
      <w:pPr>
        <w:ind w:left="720" w:hanging="360"/>
      </w:p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F10215"/>
    <w:multiLevelType w:val="hybridMultilevel"/>
    <w:tmpl w:val="0B40041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6">
    <w:nsid w:val="42EF1301"/>
    <w:multiLevelType w:val="hybridMultilevel"/>
    <w:tmpl w:val="6006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F03322"/>
    <w:multiLevelType w:val="hybridMultilevel"/>
    <w:tmpl w:val="236EAC50"/>
    <w:lvl w:ilvl="0" w:tplc="6810989E">
      <w:start w:val="1"/>
      <w:numFmt w:val="decimal"/>
      <w:lvlText w:val="%1."/>
      <w:lvlJc w:val="left"/>
      <w:pPr>
        <w:ind w:left="643" w:hanging="360"/>
      </w:pPr>
      <w:rPr>
        <w:rFonts w:cs="David" w:hint="default"/>
        <w:b/>
        <w:bCs/>
        <w:sz w:val="24"/>
        <w:szCs w:val="24"/>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4D004A"/>
    <w:multiLevelType w:val="hybridMultilevel"/>
    <w:tmpl w:val="6428E282"/>
    <w:lvl w:ilvl="0" w:tplc="04090001">
      <w:start w:val="1"/>
      <w:numFmt w:val="bullet"/>
      <w:lvlText w:val=""/>
      <w:lvlJc w:val="left"/>
      <w:pPr>
        <w:ind w:left="662" w:hanging="360"/>
      </w:pPr>
      <w:rPr>
        <w:rFonts w:ascii="Symbol" w:hAnsi="Symbol" w:hint="default"/>
      </w:rPr>
    </w:lvl>
    <w:lvl w:ilvl="1" w:tplc="04090003">
      <w:start w:val="1"/>
      <w:numFmt w:val="bullet"/>
      <w:lvlText w:val="o"/>
      <w:lvlJc w:val="left"/>
      <w:pPr>
        <w:ind w:left="1382" w:hanging="360"/>
      </w:pPr>
      <w:rPr>
        <w:rFonts w:ascii="Courier New" w:hAnsi="Courier New" w:cs="Courier New" w:hint="default"/>
      </w:rPr>
    </w:lvl>
    <w:lvl w:ilvl="2" w:tplc="04090005">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9">
    <w:nsid w:val="51340927"/>
    <w:multiLevelType w:val="hybridMultilevel"/>
    <w:tmpl w:val="90F234EC"/>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0">
    <w:nsid w:val="514C09A8"/>
    <w:multiLevelType w:val="hybridMultilevel"/>
    <w:tmpl w:val="551CA3DA"/>
    <w:lvl w:ilvl="0" w:tplc="7C74EAD2">
      <w:start w:val="1"/>
      <w:numFmt w:val="decimal"/>
      <w:lvlText w:val="%1."/>
      <w:lvlJc w:val="left"/>
      <w:pPr>
        <w:ind w:left="643"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DE3157"/>
    <w:multiLevelType w:val="hybridMultilevel"/>
    <w:tmpl w:val="1402FD50"/>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9549F4"/>
    <w:multiLevelType w:val="hybridMultilevel"/>
    <w:tmpl w:val="EC727B0C"/>
    <w:lvl w:ilvl="0" w:tplc="10108FAE">
      <w:start w:val="1"/>
      <w:numFmt w:val="decimal"/>
      <w:lvlText w:val="%1."/>
      <w:lvlJc w:val="left"/>
      <w:pPr>
        <w:ind w:left="785" w:hanging="360"/>
      </w:pPr>
      <w:rPr>
        <w:rFonts w:cs="David" w:hint="default"/>
        <w:b/>
        <w:bCs/>
        <w:sz w:val="24"/>
        <w:szCs w:val="24"/>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3">
    <w:nsid w:val="77CD3A57"/>
    <w:multiLevelType w:val="hybridMultilevel"/>
    <w:tmpl w:val="C5C0F708"/>
    <w:lvl w:ilvl="0" w:tplc="D57A3658">
      <w:start w:val="1"/>
      <w:numFmt w:val="bullet"/>
      <w:lvlText w:val="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4">
    <w:nsid w:val="7C627DEC"/>
    <w:multiLevelType w:val="hybridMultilevel"/>
    <w:tmpl w:val="69FA251A"/>
    <w:lvl w:ilvl="0" w:tplc="BE4CDAFA">
      <w:start w:val="1"/>
      <w:numFmt w:val="hebrew1"/>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7"/>
  </w:num>
  <w:num w:numId="2">
    <w:abstractNumId w:val="10"/>
  </w:num>
  <w:num w:numId="3">
    <w:abstractNumId w:val="8"/>
  </w:num>
  <w:num w:numId="4">
    <w:abstractNumId w:val="12"/>
  </w:num>
  <w:num w:numId="5">
    <w:abstractNumId w:val="5"/>
  </w:num>
  <w:num w:numId="6">
    <w:abstractNumId w:val="9"/>
  </w:num>
  <w:num w:numId="7">
    <w:abstractNumId w:val="0"/>
  </w:num>
  <w:num w:numId="8">
    <w:abstractNumId w:val="13"/>
  </w:num>
  <w:num w:numId="9">
    <w:abstractNumId w:val="3"/>
  </w:num>
  <w:num w:numId="10">
    <w:abstractNumId w:val="6"/>
  </w:num>
  <w:num w:numId="11">
    <w:abstractNumId w:val="11"/>
  </w:num>
  <w:num w:numId="12">
    <w:abstractNumId w:val="4"/>
  </w:num>
  <w:num w:numId="13">
    <w:abstractNumId w:val="14"/>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209"/>
    <w:rsid w:val="00004999"/>
    <w:rsid w:val="000112D7"/>
    <w:rsid w:val="000126FF"/>
    <w:rsid w:val="00012AD4"/>
    <w:rsid w:val="000138C2"/>
    <w:rsid w:val="00013FAF"/>
    <w:rsid w:val="00015B37"/>
    <w:rsid w:val="0001690F"/>
    <w:rsid w:val="00017B44"/>
    <w:rsid w:val="00021144"/>
    <w:rsid w:val="00022C9A"/>
    <w:rsid w:val="0003412F"/>
    <w:rsid w:val="00044D52"/>
    <w:rsid w:val="0005186D"/>
    <w:rsid w:val="00054373"/>
    <w:rsid w:val="00054717"/>
    <w:rsid w:val="000650E2"/>
    <w:rsid w:val="00065296"/>
    <w:rsid w:val="00067209"/>
    <w:rsid w:val="00071768"/>
    <w:rsid w:val="00071776"/>
    <w:rsid w:val="0007421E"/>
    <w:rsid w:val="0007492F"/>
    <w:rsid w:val="00076376"/>
    <w:rsid w:val="000818F0"/>
    <w:rsid w:val="00082C79"/>
    <w:rsid w:val="000862F8"/>
    <w:rsid w:val="00090658"/>
    <w:rsid w:val="00090D5D"/>
    <w:rsid w:val="0009135D"/>
    <w:rsid w:val="00093293"/>
    <w:rsid w:val="00093340"/>
    <w:rsid w:val="000A11F9"/>
    <w:rsid w:val="000A1A54"/>
    <w:rsid w:val="000A50F6"/>
    <w:rsid w:val="000A661F"/>
    <w:rsid w:val="000A6CD0"/>
    <w:rsid w:val="000B0E73"/>
    <w:rsid w:val="000B2A5D"/>
    <w:rsid w:val="000B49DB"/>
    <w:rsid w:val="000B55C1"/>
    <w:rsid w:val="000B79FB"/>
    <w:rsid w:val="000C0D80"/>
    <w:rsid w:val="000C5264"/>
    <w:rsid w:val="000D330B"/>
    <w:rsid w:val="000D54DF"/>
    <w:rsid w:val="000D5838"/>
    <w:rsid w:val="000D6722"/>
    <w:rsid w:val="000E0A28"/>
    <w:rsid w:val="000E3F3E"/>
    <w:rsid w:val="000E5B88"/>
    <w:rsid w:val="000F1A0F"/>
    <w:rsid w:val="000F3898"/>
    <w:rsid w:val="001006D2"/>
    <w:rsid w:val="00103E63"/>
    <w:rsid w:val="00106D98"/>
    <w:rsid w:val="001102AD"/>
    <w:rsid w:val="00120A3D"/>
    <w:rsid w:val="00132376"/>
    <w:rsid w:val="001414B4"/>
    <w:rsid w:val="00142E1E"/>
    <w:rsid w:val="001450FE"/>
    <w:rsid w:val="001513B2"/>
    <w:rsid w:val="00154ECA"/>
    <w:rsid w:val="00157FF1"/>
    <w:rsid w:val="00163FF3"/>
    <w:rsid w:val="00167E3F"/>
    <w:rsid w:val="001840CD"/>
    <w:rsid w:val="0019469C"/>
    <w:rsid w:val="00194816"/>
    <w:rsid w:val="00195E99"/>
    <w:rsid w:val="00197290"/>
    <w:rsid w:val="00197759"/>
    <w:rsid w:val="001A0313"/>
    <w:rsid w:val="001A27CF"/>
    <w:rsid w:val="001A3567"/>
    <w:rsid w:val="001A5EC1"/>
    <w:rsid w:val="001A6CEA"/>
    <w:rsid w:val="001A759E"/>
    <w:rsid w:val="001B0E97"/>
    <w:rsid w:val="001B375A"/>
    <w:rsid w:val="001B3E34"/>
    <w:rsid w:val="001B62A1"/>
    <w:rsid w:val="001B7344"/>
    <w:rsid w:val="001C2096"/>
    <w:rsid w:val="001C4597"/>
    <w:rsid w:val="001C45AA"/>
    <w:rsid w:val="001C6713"/>
    <w:rsid w:val="001C69C2"/>
    <w:rsid w:val="001D01DC"/>
    <w:rsid w:val="001D0D8F"/>
    <w:rsid w:val="001D3ABA"/>
    <w:rsid w:val="001D475D"/>
    <w:rsid w:val="001D7CF8"/>
    <w:rsid w:val="001E47B9"/>
    <w:rsid w:val="001E5E52"/>
    <w:rsid w:val="001E7FAD"/>
    <w:rsid w:val="001F202E"/>
    <w:rsid w:val="001F3AA9"/>
    <w:rsid w:val="0021296B"/>
    <w:rsid w:val="00212B28"/>
    <w:rsid w:val="002141D4"/>
    <w:rsid w:val="00230BCD"/>
    <w:rsid w:val="002310FC"/>
    <w:rsid w:val="00232C35"/>
    <w:rsid w:val="00236F9F"/>
    <w:rsid w:val="00237A35"/>
    <w:rsid w:val="0024187C"/>
    <w:rsid w:val="0024437F"/>
    <w:rsid w:val="00244E02"/>
    <w:rsid w:val="0025078A"/>
    <w:rsid w:val="002521B7"/>
    <w:rsid w:val="00263415"/>
    <w:rsid w:val="00264FF7"/>
    <w:rsid w:val="002656CA"/>
    <w:rsid w:val="002714B6"/>
    <w:rsid w:val="00275D9B"/>
    <w:rsid w:val="00282A28"/>
    <w:rsid w:val="00282B16"/>
    <w:rsid w:val="00282F89"/>
    <w:rsid w:val="00287C53"/>
    <w:rsid w:val="00290C00"/>
    <w:rsid w:val="002912E7"/>
    <w:rsid w:val="002940CD"/>
    <w:rsid w:val="0029485F"/>
    <w:rsid w:val="002A0128"/>
    <w:rsid w:val="002A1BA1"/>
    <w:rsid w:val="002A5C35"/>
    <w:rsid w:val="002A68AB"/>
    <w:rsid w:val="002B2DC0"/>
    <w:rsid w:val="002B5120"/>
    <w:rsid w:val="002B712D"/>
    <w:rsid w:val="002B763F"/>
    <w:rsid w:val="002C3507"/>
    <w:rsid w:val="002C42F1"/>
    <w:rsid w:val="002C5A1B"/>
    <w:rsid w:val="002C72B2"/>
    <w:rsid w:val="002D36C7"/>
    <w:rsid w:val="002D46D9"/>
    <w:rsid w:val="002E3447"/>
    <w:rsid w:val="002E4319"/>
    <w:rsid w:val="002E779E"/>
    <w:rsid w:val="002F1A99"/>
    <w:rsid w:val="002F448B"/>
    <w:rsid w:val="002F4FED"/>
    <w:rsid w:val="00300064"/>
    <w:rsid w:val="0030490D"/>
    <w:rsid w:val="00310996"/>
    <w:rsid w:val="00310CCF"/>
    <w:rsid w:val="00317306"/>
    <w:rsid w:val="0032355C"/>
    <w:rsid w:val="00326A38"/>
    <w:rsid w:val="003273C2"/>
    <w:rsid w:val="003304D3"/>
    <w:rsid w:val="00332E3A"/>
    <w:rsid w:val="00337815"/>
    <w:rsid w:val="0034683F"/>
    <w:rsid w:val="00346EA6"/>
    <w:rsid w:val="00355EF6"/>
    <w:rsid w:val="003574E7"/>
    <w:rsid w:val="003627DF"/>
    <w:rsid w:val="00362AB7"/>
    <w:rsid w:val="00364556"/>
    <w:rsid w:val="00370267"/>
    <w:rsid w:val="00373BCF"/>
    <w:rsid w:val="00374686"/>
    <w:rsid w:val="003766DD"/>
    <w:rsid w:val="003778A6"/>
    <w:rsid w:val="003804A6"/>
    <w:rsid w:val="00381D78"/>
    <w:rsid w:val="00382471"/>
    <w:rsid w:val="00385A61"/>
    <w:rsid w:val="003867BE"/>
    <w:rsid w:val="003872E7"/>
    <w:rsid w:val="003875C4"/>
    <w:rsid w:val="003901AC"/>
    <w:rsid w:val="003A3C40"/>
    <w:rsid w:val="003A77F6"/>
    <w:rsid w:val="003B12A5"/>
    <w:rsid w:val="003B4681"/>
    <w:rsid w:val="003C378E"/>
    <w:rsid w:val="003C6794"/>
    <w:rsid w:val="003D48A6"/>
    <w:rsid w:val="003E048B"/>
    <w:rsid w:val="003E3182"/>
    <w:rsid w:val="003F3773"/>
    <w:rsid w:val="004018A4"/>
    <w:rsid w:val="00401D0A"/>
    <w:rsid w:val="00404752"/>
    <w:rsid w:val="00415E03"/>
    <w:rsid w:val="0041604D"/>
    <w:rsid w:val="00417CCD"/>
    <w:rsid w:val="00432A0E"/>
    <w:rsid w:val="00434B31"/>
    <w:rsid w:val="00441DE6"/>
    <w:rsid w:val="00443B63"/>
    <w:rsid w:val="0044452C"/>
    <w:rsid w:val="0045107F"/>
    <w:rsid w:val="00460B37"/>
    <w:rsid w:val="00465046"/>
    <w:rsid w:val="00470443"/>
    <w:rsid w:val="00471106"/>
    <w:rsid w:val="00474702"/>
    <w:rsid w:val="004805B8"/>
    <w:rsid w:val="004829CB"/>
    <w:rsid w:val="004844F8"/>
    <w:rsid w:val="00485777"/>
    <w:rsid w:val="00491133"/>
    <w:rsid w:val="004925E1"/>
    <w:rsid w:val="00494803"/>
    <w:rsid w:val="00494D0C"/>
    <w:rsid w:val="004A146A"/>
    <w:rsid w:val="004A2619"/>
    <w:rsid w:val="004A4CEA"/>
    <w:rsid w:val="004A57C3"/>
    <w:rsid w:val="004C0534"/>
    <w:rsid w:val="004C36F4"/>
    <w:rsid w:val="004D454A"/>
    <w:rsid w:val="004D4C75"/>
    <w:rsid w:val="004D79AF"/>
    <w:rsid w:val="004D7F8A"/>
    <w:rsid w:val="004E1D06"/>
    <w:rsid w:val="004E3E34"/>
    <w:rsid w:val="00512AC8"/>
    <w:rsid w:val="0051551E"/>
    <w:rsid w:val="005162AA"/>
    <w:rsid w:val="00522E22"/>
    <w:rsid w:val="00522F3F"/>
    <w:rsid w:val="00523BFD"/>
    <w:rsid w:val="005248A4"/>
    <w:rsid w:val="00530A7F"/>
    <w:rsid w:val="00531D93"/>
    <w:rsid w:val="0053280F"/>
    <w:rsid w:val="005356D1"/>
    <w:rsid w:val="00535F1E"/>
    <w:rsid w:val="00537D50"/>
    <w:rsid w:val="00542C7F"/>
    <w:rsid w:val="00545DD6"/>
    <w:rsid w:val="00554502"/>
    <w:rsid w:val="00554A17"/>
    <w:rsid w:val="0056180D"/>
    <w:rsid w:val="005671E9"/>
    <w:rsid w:val="005739A6"/>
    <w:rsid w:val="005758BD"/>
    <w:rsid w:val="005766B5"/>
    <w:rsid w:val="0058141B"/>
    <w:rsid w:val="00585A1A"/>
    <w:rsid w:val="005952EB"/>
    <w:rsid w:val="005B0340"/>
    <w:rsid w:val="005B397F"/>
    <w:rsid w:val="005B595C"/>
    <w:rsid w:val="005D35C4"/>
    <w:rsid w:val="005D7818"/>
    <w:rsid w:val="005E1630"/>
    <w:rsid w:val="005E500E"/>
    <w:rsid w:val="005F515F"/>
    <w:rsid w:val="005F53B0"/>
    <w:rsid w:val="00602469"/>
    <w:rsid w:val="00603434"/>
    <w:rsid w:val="00607C5C"/>
    <w:rsid w:val="00615D9F"/>
    <w:rsid w:val="00620EA0"/>
    <w:rsid w:val="00622E22"/>
    <w:rsid w:val="00624957"/>
    <w:rsid w:val="00627292"/>
    <w:rsid w:val="0063201B"/>
    <w:rsid w:val="00640714"/>
    <w:rsid w:val="00645449"/>
    <w:rsid w:val="006472EF"/>
    <w:rsid w:val="00656C3E"/>
    <w:rsid w:val="00657A91"/>
    <w:rsid w:val="006608E7"/>
    <w:rsid w:val="006677B4"/>
    <w:rsid w:val="00676B8B"/>
    <w:rsid w:val="00677F6E"/>
    <w:rsid w:val="00681D5A"/>
    <w:rsid w:val="0068483D"/>
    <w:rsid w:val="00694BEF"/>
    <w:rsid w:val="006973D9"/>
    <w:rsid w:val="00697BBF"/>
    <w:rsid w:val="006A6F71"/>
    <w:rsid w:val="006B0C6E"/>
    <w:rsid w:val="006B6F91"/>
    <w:rsid w:val="006C7285"/>
    <w:rsid w:val="006D1F32"/>
    <w:rsid w:val="006E259D"/>
    <w:rsid w:val="006E2770"/>
    <w:rsid w:val="006E331B"/>
    <w:rsid w:val="006E4E37"/>
    <w:rsid w:val="006F3AA9"/>
    <w:rsid w:val="007022C0"/>
    <w:rsid w:val="00702522"/>
    <w:rsid w:val="0070322C"/>
    <w:rsid w:val="007045FB"/>
    <w:rsid w:val="007074D2"/>
    <w:rsid w:val="007150A5"/>
    <w:rsid w:val="007161AA"/>
    <w:rsid w:val="00716725"/>
    <w:rsid w:val="00720B2D"/>
    <w:rsid w:val="00720C95"/>
    <w:rsid w:val="00720FD4"/>
    <w:rsid w:val="007270F2"/>
    <w:rsid w:val="00730065"/>
    <w:rsid w:val="007305FB"/>
    <w:rsid w:val="00736AC4"/>
    <w:rsid w:val="00746091"/>
    <w:rsid w:val="00754724"/>
    <w:rsid w:val="007636E9"/>
    <w:rsid w:val="00767F8D"/>
    <w:rsid w:val="00781099"/>
    <w:rsid w:val="0079190D"/>
    <w:rsid w:val="007978DF"/>
    <w:rsid w:val="00797D21"/>
    <w:rsid w:val="007A0C2D"/>
    <w:rsid w:val="007A2680"/>
    <w:rsid w:val="007B2BF5"/>
    <w:rsid w:val="007B3377"/>
    <w:rsid w:val="007B6643"/>
    <w:rsid w:val="007C4854"/>
    <w:rsid w:val="007D0E6D"/>
    <w:rsid w:val="007D581E"/>
    <w:rsid w:val="007E49DB"/>
    <w:rsid w:val="007E6804"/>
    <w:rsid w:val="007E703D"/>
    <w:rsid w:val="007F04D5"/>
    <w:rsid w:val="007F0C0E"/>
    <w:rsid w:val="007F30BF"/>
    <w:rsid w:val="00801226"/>
    <w:rsid w:val="008041FE"/>
    <w:rsid w:val="00816E28"/>
    <w:rsid w:val="0082572B"/>
    <w:rsid w:val="00830C83"/>
    <w:rsid w:val="008411BF"/>
    <w:rsid w:val="008438A0"/>
    <w:rsid w:val="00850053"/>
    <w:rsid w:val="008543EC"/>
    <w:rsid w:val="008567B3"/>
    <w:rsid w:val="00860B17"/>
    <w:rsid w:val="00862598"/>
    <w:rsid w:val="00863EA3"/>
    <w:rsid w:val="0087063A"/>
    <w:rsid w:val="00871A02"/>
    <w:rsid w:val="0087235B"/>
    <w:rsid w:val="008732C9"/>
    <w:rsid w:val="00883A5C"/>
    <w:rsid w:val="00892698"/>
    <w:rsid w:val="00893847"/>
    <w:rsid w:val="00897BEB"/>
    <w:rsid w:val="00897EFB"/>
    <w:rsid w:val="008A15F5"/>
    <w:rsid w:val="008A2FD4"/>
    <w:rsid w:val="008C7195"/>
    <w:rsid w:val="008D3637"/>
    <w:rsid w:val="008E3AC1"/>
    <w:rsid w:val="008E5AB1"/>
    <w:rsid w:val="008F4461"/>
    <w:rsid w:val="008F62B8"/>
    <w:rsid w:val="008F78AF"/>
    <w:rsid w:val="00900072"/>
    <w:rsid w:val="00906AE2"/>
    <w:rsid w:val="009135DA"/>
    <w:rsid w:val="0094133A"/>
    <w:rsid w:val="0094174D"/>
    <w:rsid w:val="00944763"/>
    <w:rsid w:val="009479CF"/>
    <w:rsid w:val="00950168"/>
    <w:rsid w:val="009515EE"/>
    <w:rsid w:val="009533BC"/>
    <w:rsid w:val="0097307B"/>
    <w:rsid w:val="00973805"/>
    <w:rsid w:val="0097523B"/>
    <w:rsid w:val="00976E7E"/>
    <w:rsid w:val="00980E43"/>
    <w:rsid w:val="00996E77"/>
    <w:rsid w:val="009B138B"/>
    <w:rsid w:val="009B39F3"/>
    <w:rsid w:val="009B7266"/>
    <w:rsid w:val="009B74DD"/>
    <w:rsid w:val="009C2F2C"/>
    <w:rsid w:val="009D38C5"/>
    <w:rsid w:val="009D3B06"/>
    <w:rsid w:val="009D6A42"/>
    <w:rsid w:val="009D6F3D"/>
    <w:rsid w:val="009E0FFA"/>
    <w:rsid w:val="009F1834"/>
    <w:rsid w:val="00A062A5"/>
    <w:rsid w:val="00A149EB"/>
    <w:rsid w:val="00A17E55"/>
    <w:rsid w:val="00A260D0"/>
    <w:rsid w:val="00A27C68"/>
    <w:rsid w:val="00A30019"/>
    <w:rsid w:val="00A30869"/>
    <w:rsid w:val="00A30B64"/>
    <w:rsid w:val="00A36DB1"/>
    <w:rsid w:val="00A3719E"/>
    <w:rsid w:val="00A5240C"/>
    <w:rsid w:val="00A52CA7"/>
    <w:rsid w:val="00A53CA7"/>
    <w:rsid w:val="00A73307"/>
    <w:rsid w:val="00A73862"/>
    <w:rsid w:val="00A754B5"/>
    <w:rsid w:val="00A77EAB"/>
    <w:rsid w:val="00A862A3"/>
    <w:rsid w:val="00AA4387"/>
    <w:rsid w:val="00AA6437"/>
    <w:rsid w:val="00AB0488"/>
    <w:rsid w:val="00AB2DC0"/>
    <w:rsid w:val="00AC7206"/>
    <w:rsid w:val="00AD27B5"/>
    <w:rsid w:val="00AD4EC6"/>
    <w:rsid w:val="00AD6313"/>
    <w:rsid w:val="00AE4185"/>
    <w:rsid w:val="00AE7984"/>
    <w:rsid w:val="00AF4AF2"/>
    <w:rsid w:val="00B018FB"/>
    <w:rsid w:val="00B04798"/>
    <w:rsid w:val="00B052B5"/>
    <w:rsid w:val="00B12048"/>
    <w:rsid w:val="00B13755"/>
    <w:rsid w:val="00B24661"/>
    <w:rsid w:val="00B34B00"/>
    <w:rsid w:val="00B37946"/>
    <w:rsid w:val="00B4157C"/>
    <w:rsid w:val="00B45141"/>
    <w:rsid w:val="00B50475"/>
    <w:rsid w:val="00B60C3F"/>
    <w:rsid w:val="00B623A6"/>
    <w:rsid w:val="00B7287B"/>
    <w:rsid w:val="00B82697"/>
    <w:rsid w:val="00B82801"/>
    <w:rsid w:val="00B905D1"/>
    <w:rsid w:val="00B91F98"/>
    <w:rsid w:val="00BA0402"/>
    <w:rsid w:val="00BA1E06"/>
    <w:rsid w:val="00BA2B74"/>
    <w:rsid w:val="00BA49DA"/>
    <w:rsid w:val="00BA713C"/>
    <w:rsid w:val="00BB1F18"/>
    <w:rsid w:val="00BE0E50"/>
    <w:rsid w:val="00BE2C1E"/>
    <w:rsid w:val="00BE3355"/>
    <w:rsid w:val="00BE5E11"/>
    <w:rsid w:val="00BF242D"/>
    <w:rsid w:val="00C0109A"/>
    <w:rsid w:val="00C020C4"/>
    <w:rsid w:val="00C06A2C"/>
    <w:rsid w:val="00C0798C"/>
    <w:rsid w:val="00C105AD"/>
    <w:rsid w:val="00C20FEA"/>
    <w:rsid w:val="00C217F2"/>
    <w:rsid w:val="00C30ED8"/>
    <w:rsid w:val="00C30F58"/>
    <w:rsid w:val="00C32F73"/>
    <w:rsid w:val="00C3457F"/>
    <w:rsid w:val="00C45849"/>
    <w:rsid w:val="00C51477"/>
    <w:rsid w:val="00C5405F"/>
    <w:rsid w:val="00C634B8"/>
    <w:rsid w:val="00C84C8B"/>
    <w:rsid w:val="00C8728C"/>
    <w:rsid w:val="00C93E4A"/>
    <w:rsid w:val="00CA0B68"/>
    <w:rsid w:val="00CA3296"/>
    <w:rsid w:val="00CB65E9"/>
    <w:rsid w:val="00CC0CD9"/>
    <w:rsid w:val="00CC2211"/>
    <w:rsid w:val="00CC43A4"/>
    <w:rsid w:val="00CC6D3B"/>
    <w:rsid w:val="00CD1927"/>
    <w:rsid w:val="00CD1C7B"/>
    <w:rsid w:val="00CD325F"/>
    <w:rsid w:val="00CD7FCC"/>
    <w:rsid w:val="00CF3073"/>
    <w:rsid w:val="00D03D4F"/>
    <w:rsid w:val="00D20958"/>
    <w:rsid w:val="00D3357F"/>
    <w:rsid w:val="00D35B3E"/>
    <w:rsid w:val="00D371BB"/>
    <w:rsid w:val="00D55FD0"/>
    <w:rsid w:val="00D5701A"/>
    <w:rsid w:val="00D63C84"/>
    <w:rsid w:val="00D666B9"/>
    <w:rsid w:val="00D66789"/>
    <w:rsid w:val="00D70984"/>
    <w:rsid w:val="00D709CC"/>
    <w:rsid w:val="00D7381B"/>
    <w:rsid w:val="00D8267F"/>
    <w:rsid w:val="00D92025"/>
    <w:rsid w:val="00D952C8"/>
    <w:rsid w:val="00DA1ADB"/>
    <w:rsid w:val="00DA1DD8"/>
    <w:rsid w:val="00DA3E8B"/>
    <w:rsid w:val="00DA4D20"/>
    <w:rsid w:val="00DB4FCF"/>
    <w:rsid w:val="00DB699E"/>
    <w:rsid w:val="00DC1092"/>
    <w:rsid w:val="00DC6829"/>
    <w:rsid w:val="00DE3118"/>
    <w:rsid w:val="00DE3327"/>
    <w:rsid w:val="00DE69F3"/>
    <w:rsid w:val="00DF6215"/>
    <w:rsid w:val="00E01044"/>
    <w:rsid w:val="00E02A02"/>
    <w:rsid w:val="00E04D0C"/>
    <w:rsid w:val="00E05732"/>
    <w:rsid w:val="00E07370"/>
    <w:rsid w:val="00E07E4E"/>
    <w:rsid w:val="00E14CDC"/>
    <w:rsid w:val="00E1660C"/>
    <w:rsid w:val="00E41381"/>
    <w:rsid w:val="00E60080"/>
    <w:rsid w:val="00E608FE"/>
    <w:rsid w:val="00E73E6B"/>
    <w:rsid w:val="00E80DBA"/>
    <w:rsid w:val="00E87D27"/>
    <w:rsid w:val="00E939C0"/>
    <w:rsid w:val="00E95304"/>
    <w:rsid w:val="00E95984"/>
    <w:rsid w:val="00E95B78"/>
    <w:rsid w:val="00E9629E"/>
    <w:rsid w:val="00EA3A26"/>
    <w:rsid w:val="00EA3F02"/>
    <w:rsid w:val="00EA7B6A"/>
    <w:rsid w:val="00EB0EBD"/>
    <w:rsid w:val="00EB3B68"/>
    <w:rsid w:val="00EB4B5D"/>
    <w:rsid w:val="00EC01A1"/>
    <w:rsid w:val="00EC0836"/>
    <w:rsid w:val="00EC5197"/>
    <w:rsid w:val="00ED1313"/>
    <w:rsid w:val="00ED3959"/>
    <w:rsid w:val="00ED6FF4"/>
    <w:rsid w:val="00EE0549"/>
    <w:rsid w:val="00EE3155"/>
    <w:rsid w:val="00EE3448"/>
    <w:rsid w:val="00EE5557"/>
    <w:rsid w:val="00EE6FD2"/>
    <w:rsid w:val="00EF34A6"/>
    <w:rsid w:val="00F041B4"/>
    <w:rsid w:val="00F12B36"/>
    <w:rsid w:val="00F212FE"/>
    <w:rsid w:val="00F22136"/>
    <w:rsid w:val="00F22CBF"/>
    <w:rsid w:val="00F2798F"/>
    <w:rsid w:val="00F33279"/>
    <w:rsid w:val="00F365C5"/>
    <w:rsid w:val="00F36A6C"/>
    <w:rsid w:val="00F419F1"/>
    <w:rsid w:val="00F53462"/>
    <w:rsid w:val="00F55DE0"/>
    <w:rsid w:val="00F56965"/>
    <w:rsid w:val="00F66685"/>
    <w:rsid w:val="00F70147"/>
    <w:rsid w:val="00F730B2"/>
    <w:rsid w:val="00F73506"/>
    <w:rsid w:val="00F73E02"/>
    <w:rsid w:val="00F73E5B"/>
    <w:rsid w:val="00F756AD"/>
    <w:rsid w:val="00F8039A"/>
    <w:rsid w:val="00F854E8"/>
    <w:rsid w:val="00F860B1"/>
    <w:rsid w:val="00FA4719"/>
    <w:rsid w:val="00FB36D8"/>
    <w:rsid w:val="00FB4386"/>
    <w:rsid w:val="00FC21E8"/>
    <w:rsid w:val="00FC2507"/>
    <w:rsid w:val="00FD3850"/>
    <w:rsid w:val="00FD4561"/>
    <w:rsid w:val="00FF2C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Gisha"/>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815"/>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759E"/>
    <w:pPr>
      <w:tabs>
        <w:tab w:val="center" w:pos="4153"/>
        <w:tab w:val="right" w:pos="8306"/>
      </w:tabs>
      <w:spacing w:after="0" w:line="240" w:lineRule="auto"/>
    </w:pPr>
  </w:style>
  <w:style w:type="character" w:customStyle="1" w:styleId="a4">
    <w:name w:val="כותרת עליונה תו"/>
    <w:basedOn w:val="a0"/>
    <w:link w:val="a3"/>
    <w:uiPriority w:val="99"/>
    <w:rsid w:val="001A759E"/>
  </w:style>
  <w:style w:type="paragraph" w:styleId="a5">
    <w:name w:val="footer"/>
    <w:basedOn w:val="a"/>
    <w:link w:val="a6"/>
    <w:uiPriority w:val="99"/>
    <w:unhideWhenUsed/>
    <w:rsid w:val="001A759E"/>
    <w:pPr>
      <w:tabs>
        <w:tab w:val="center" w:pos="4153"/>
        <w:tab w:val="right" w:pos="8306"/>
      </w:tabs>
      <w:spacing w:after="0" w:line="240" w:lineRule="auto"/>
    </w:pPr>
  </w:style>
  <w:style w:type="character" w:customStyle="1" w:styleId="a6">
    <w:name w:val="כותרת תחתונה תו"/>
    <w:basedOn w:val="a0"/>
    <w:link w:val="a5"/>
    <w:uiPriority w:val="99"/>
    <w:rsid w:val="001A759E"/>
  </w:style>
  <w:style w:type="paragraph" w:styleId="a7">
    <w:name w:val="Balloon Text"/>
    <w:basedOn w:val="a"/>
    <w:link w:val="a8"/>
    <w:uiPriority w:val="99"/>
    <w:semiHidden/>
    <w:unhideWhenUsed/>
    <w:rsid w:val="001A759E"/>
    <w:pPr>
      <w:spacing w:after="0" w:line="240" w:lineRule="auto"/>
    </w:pPr>
    <w:rPr>
      <w:rFonts w:ascii="Tahoma" w:hAnsi="Tahoma" w:cs="Times New Roman"/>
      <w:sz w:val="16"/>
      <w:szCs w:val="16"/>
      <w:lang w:val="x-none" w:eastAsia="x-none"/>
    </w:rPr>
  </w:style>
  <w:style w:type="character" w:customStyle="1" w:styleId="a8">
    <w:name w:val="טקסט בלונים תו"/>
    <w:link w:val="a7"/>
    <w:uiPriority w:val="99"/>
    <w:semiHidden/>
    <w:rsid w:val="001A759E"/>
    <w:rPr>
      <w:rFonts w:ascii="Tahoma" w:hAnsi="Tahoma" w:cs="Tahoma"/>
      <w:sz w:val="16"/>
      <w:szCs w:val="16"/>
    </w:rPr>
  </w:style>
  <w:style w:type="table" w:styleId="a9">
    <w:name w:val="Table Grid"/>
    <w:basedOn w:val="a1"/>
    <w:uiPriority w:val="59"/>
    <w:rsid w:val="001A7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הצללה בהירה - הדגשה 11"/>
    <w:basedOn w:val="a1"/>
    <w:uiPriority w:val="60"/>
    <w:rsid w:val="001A759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a"/>
    <w:uiPriority w:val="99"/>
    <w:unhideWhenUsed/>
    <w:rsid w:val="001A759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basedOn w:val="a"/>
    <w:link w:val="ab"/>
    <w:uiPriority w:val="99"/>
    <w:semiHidden/>
    <w:unhideWhenUsed/>
    <w:rsid w:val="00B34B00"/>
    <w:pPr>
      <w:spacing w:after="0" w:line="240" w:lineRule="auto"/>
    </w:pPr>
    <w:rPr>
      <w:rFonts w:cs="Times New Roman"/>
      <w:sz w:val="20"/>
      <w:szCs w:val="20"/>
      <w:lang w:val="x-none" w:eastAsia="x-none"/>
    </w:rPr>
  </w:style>
  <w:style w:type="character" w:customStyle="1" w:styleId="ab">
    <w:name w:val="טקסט הערת שוליים תו"/>
    <w:link w:val="aa"/>
    <w:uiPriority w:val="99"/>
    <w:semiHidden/>
    <w:rsid w:val="00B34B00"/>
    <w:rPr>
      <w:sz w:val="20"/>
      <w:szCs w:val="20"/>
    </w:rPr>
  </w:style>
  <w:style w:type="character" w:styleId="ac">
    <w:name w:val="footnote reference"/>
    <w:uiPriority w:val="99"/>
    <w:semiHidden/>
    <w:unhideWhenUsed/>
    <w:rsid w:val="00B34B00"/>
    <w:rPr>
      <w:vertAlign w:val="superscript"/>
    </w:rPr>
  </w:style>
  <w:style w:type="paragraph" w:styleId="ad">
    <w:name w:val="List Paragraph"/>
    <w:basedOn w:val="a"/>
    <w:uiPriority w:val="34"/>
    <w:qFormat/>
    <w:rsid w:val="00980E43"/>
    <w:pPr>
      <w:ind w:left="720"/>
      <w:contextualSpacing/>
    </w:pPr>
  </w:style>
  <w:style w:type="table" w:styleId="-6">
    <w:name w:val="Colorful List Accent 6"/>
    <w:basedOn w:val="a1"/>
    <w:uiPriority w:val="72"/>
    <w:rsid w:val="005356D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1">
    <w:name w:val="רשימה צבעונית1"/>
    <w:basedOn w:val="a1"/>
    <w:uiPriority w:val="72"/>
    <w:rsid w:val="005F53B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styleId="ae">
    <w:name w:val="annotation reference"/>
    <w:uiPriority w:val="99"/>
    <w:semiHidden/>
    <w:unhideWhenUsed/>
    <w:rsid w:val="004D4C75"/>
    <w:rPr>
      <w:sz w:val="16"/>
      <w:szCs w:val="16"/>
    </w:rPr>
  </w:style>
  <w:style w:type="paragraph" w:styleId="af">
    <w:name w:val="annotation text"/>
    <w:basedOn w:val="a"/>
    <w:link w:val="af0"/>
    <w:uiPriority w:val="99"/>
    <w:semiHidden/>
    <w:unhideWhenUsed/>
    <w:rsid w:val="004D4C75"/>
    <w:pPr>
      <w:spacing w:line="240" w:lineRule="auto"/>
    </w:pPr>
    <w:rPr>
      <w:sz w:val="20"/>
      <w:szCs w:val="20"/>
    </w:rPr>
  </w:style>
  <w:style w:type="character" w:customStyle="1" w:styleId="af0">
    <w:name w:val="טקסט הערה תו"/>
    <w:basedOn w:val="a0"/>
    <w:link w:val="af"/>
    <w:uiPriority w:val="99"/>
    <w:semiHidden/>
    <w:rsid w:val="004D4C75"/>
  </w:style>
  <w:style w:type="paragraph" w:styleId="af1">
    <w:name w:val="annotation subject"/>
    <w:basedOn w:val="af"/>
    <w:next w:val="af"/>
    <w:link w:val="af2"/>
    <w:uiPriority w:val="99"/>
    <w:semiHidden/>
    <w:unhideWhenUsed/>
    <w:rsid w:val="004D4C75"/>
    <w:rPr>
      <w:rFonts w:cs="Times New Roman"/>
      <w:b/>
      <w:bCs/>
      <w:lang w:val="x-none" w:eastAsia="x-none"/>
    </w:rPr>
  </w:style>
  <w:style w:type="character" w:customStyle="1" w:styleId="af2">
    <w:name w:val="נושא הערה תו"/>
    <w:link w:val="af1"/>
    <w:uiPriority w:val="99"/>
    <w:semiHidden/>
    <w:rsid w:val="004D4C75"/>
    <w:rPr>
      <w:b/>
      <w:bCs/>
    </w:rPr>
  </w:style>
  <w:style w:type="table" w:styleId="-1">
    <w:name w:val="Light List Accent 1"/>
    <w:basedOn w:val="a1"/>
    <w:uiPriority w:val="61"/>
    <w:rsid w:val="00720B2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5">
    <w:name w:val="Light List Accent 5"/>
    <w:basedOn w:val="a1"/>
    <w:uiPriority w:val="61"/>
    <w:rsid w:val="000A50F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0">
    <w:name w:val="Light Shading Accent 5"/>
    <w:basedOn w:val="a1"/>
    <w:uiPriority w:val="60"/>
    <w:rsid w:val="001513B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
    <w:name w:val="Light Shading Accent 2"/>
    <w:basedOn w:val="a1"/>
    <w:uiPriority w:val="60"/>
    <w:rsid w:val="006E259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f3">
    <w:name w:val="Light Shading"/>
    <w:basedOn w:val="a1"/>
    <w:uiPriority w:val="60"/>
    <w:rsid w:val="00F332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4">
    <w:name w:val="Light Shading Accent 4"/>
    <w:basedOn w:val="a1"/>
    <w:uiPriority w:val="60"/>
    <w:rsid w:val="00CC221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0">
    <w:name w:val="Light Shading Accent 1"/>
    <w:basedOn w:val="a1"/>
    <w:uiPriority w:val="60"/>
    <w:rsid w:val="00CC221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List Accent 2"/>
    <w:basedOn w:val="a1"/>
    <w:uiPriority w:val="61"/>
    <w:rsid w:val="00DC682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Hyperlink">
    <w:name w:val="Hyperlink"/>
    <w:basedOn w:val="a0"/>
    <w:uiPriority w:val="99"/>
    <w:unhideWhenUsed/>
    <w:rsid w:val="00EC01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Gisha"/>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815"/>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759E"/>
    <w:pPr>
      <w:tabs>
        <w:tab w:val="center" w:pos="4153"/>
        <w:tab w:val="right" w:pos="8306"/>
      </w:tabs>
      <w:spacing w:after="0" w:line="240" w:lineRule="auto"/>
    </w:pPr>
  </w:style>
  <w:style w:type="character" w:customStyle="1" w:styleId="a4">
    <w:name w:val="כותרת עליונה תו"/>
    <w:basedOn w:val="a0"/>
    <w:link w:val="a3"/>
    <w:uiPriority w:val="99"/>
    <w:rsid w:val="001A759E"/>
  </w:style>
  <w:style w:type="paragraph" w:styleId="a5">
    <w:name w:val="footer"/>
    <w:basedOn w:val="a"/>
    <w:link w:val="a6"/>
    <w:uiPriority w:val="99"/>
    <w:unhideWhenUsed/>
    <w:rsid w:val="001A759E"/>
    <w:pPr>
      <w:tabs>
        <w:tab w:val="center" w:pos="4153"/>
        <w:tab w:val="right" w:pos="8306"/>
      </w:tabs>
      <w:spacing w:after="0" w:line="240" w:lineRule="auto"/>
    </w:pPr>
  </w:style>
  <w:style w:type="character" w:customStyle="1" w:styleId="a6">
    <w:name w:val="כותרת תחתונה תו"/>
    <w:basedOn w:val="a0"/>
    <w:link w:val="a5"/>
    <w:uiPriority w:val="99"/>
    <w:rsid w:val="001A759E"/>
  </w:style>
  <w:style w:type="paragraph" w:styleId="a7">
    <w:name w:val="Balloon Text"/>
    <w:basedOn w:val="a"/>
    <w:link w:val="a8"/>
    <w:uiPriority w:val="99"/>
    <w:semiHidden/>
    <w:unhideWhenUsed/>
    <w:rsid w:val="001A759E"/>
    <w:pPr>
      <w:spacing w:after="0" w:line="240" w:lineRule="auto"/>
    </w:pPr>
    <w:rPr>
      <w:rFonts w:ascii="Tahoma" w:hAnsi="Tahoma" w:cs="Times New Roman"/>
      <w:sz w:val="16"/>
      <w:szCs w:val="16"/>
      <w:lang w:val="x-none" w:eastAsia="x-none"/>
    </w:rPr>
  </w:style>
  <w:style w:type="character" w:customStyle="1" w:styleId="a8">
    <w:name w:val="טקסט בלונים תו"/>
    <w:link w:val="a7"/>
    <w:uiPriority w:val="99"/>
    <w:semiHidden/>
    <w:rsid w:val="001A759E"/>
    <w:rPr>
      <w:rFonts w:ascii="Tahoma" w:hAnsi="Tahoma" w:cs="Tahoma"/>
      <w:sz w:val="16"/>
      <w:szCs w:val="16"/>
    </w:rPr>
  </w:style>
  <w:style w:type="table" w:styleId="a9">
    <w:name w:val="Table Grid"/>
    <w:basedOn w:val="a1"/>
    <w:uiPriority w:val="59"/>
    <w:rsid w:val="001A7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הצללה בהירה - הדגשה 11"/>
    <w:basedOn w:val="a1"/>
    <w:uiPriority w:val="60"/>
    <w:rsid w:val="001A759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a"/>
    <w:uiPriority w:val="99"/>
    <w:unhideWhenUsed/>
    <w:rsid w:val="001A759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basedOn w:val="a"/>
    <w:link w:val="ab"/>
    <w:uiPriority w:val="99"/>
    <w:semiHidden/>
    <w:unhideWhenUsed/>
    <w:rsid w:val="00B34B00"/>
    <w:pPr>
      <w:spacing w:after="0" w:line="240" w:lineRule="auto"/>
    </w:pPr>
    <w:rPr>
      <w:rFonts w:cs="Times New Roman"/>
      <w:sz w:val="20"/>
      <w:szCs w:val="20"/>
      <w:lang w:val="x-none" w:eastAsia="x-none"/>
    </w:rPr>
  </w:style>
  <w:style w:type="character" w:customStyle="1" w:styleId="ab">
    <w:name w:val="טקסט הערת שוליים תו"/>
    <w:link w:val="aa"/>
    <w:uiPriority w:val="99"/>
    <w:semiHidden/>
    <w:rsid w:val="00B34B00"/>
    <w:rPr>
      <w:sz w:val="20"/>
      <w:szCs w:val="20"/>
    </w:rPr>
  </w:style>
  <w:style w:type="character" w:styleId="ac">
    <w:name w:val="footnote reference"/>
    <w:uiPriority w:val="99"/>
    <w:semiHidden/>
    <w:unhideWhenUsed/>
    <w:rsid w:val="00B34B00"/>
    <w:rPr>
      <w:vertAlign w:val="superscript"/>
    </w:rPr>
  </w:style>
  <w:style w:type="paragraph" w:styleId="ad">
    <w:name w:val="List Paragraph"/>
    <w:basedOn w:val="a"/>
    <w:uiPriority w:val="34"/>
    <w:qFormat/>
    <w:rsid w:val="00980E43"/>
    <w:pPr>
      <w:ind w:left="720"/>
      <w:contextualSpacing/>
    </w:pPr>
  </w:style>
  <w:style w:type="table" w:styleId="-6">
    <w:name w:val="Colorful List Accent 6"/>
    <w:basedOn w:val="a1"/>
    <w:uiPriority w:val="72"/>
    <w:rsid w:val="005356D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1">
    <w:name w:val="רשימה צבעונית1"/>
    <w:basedOn w:val="a1"/>
    <w:uiPriority w:val="72"/>
    <w:rsid w:val="005F53B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styleId="ae">
    <w:name w:val="annotation reference"/>
    <w:uiPriority w:val="99"/>
    <w:semiHidden/>
    <w:unhideWhenUsed/>
    <w:rsid w:val="004D4C75"/>
    <w:rPr>
      <w:sz w:val="16"/>
      <w:szCs w:val="16"/>
    </w:rPr>
  </w:style>
  <w:style w:type="paragraph" w:styleId="af">
    <w:name w:val="annotation text"/>
    <w:basedOn w:val="a"/>
    <w:link w:val="af0"/>
    <w:uiPriority w:val="99"/>
    <w:semiHidden/>
    <w:unhideWhenUsed/>
    <w:rsid w:val="004D4C75"/>
    <w:pPr>
      <w:spacing w:line="240" w:lineRule="auto"/>
    </w:pPr>
    <w:rPr>
      <w:sz w:val="20"/>
      <w:szCs w:val="20"/>
    </w:rPr>
  </w:style>
  <w:style w:type="character" w:customStyle="1" w:styleId="af0">
    <w:name w:val="טקסט הערה תו"/>
    <w:basedOn w:val="a0"/>
    <w:link w:val="af"/>
    <w:uiPriority w:val="99"/>
    <w:semiHidden/>
    <w:rsid w:val="004D4C75"/>
  </w:style>
  <w:style w:type="paragraph" w:styleId="af1">
    <w:name w:val="annotation subject"/>
    <w:basedOn w:val="af"/>
    <w:next w:val="af"/>
    <w:link w:val="af2"/>
    <w:uiPriority w:val="99"/>
    <w:semiHidden/>
    <w:unhideWhenUsed/>
    <w:rsid w:val="004D4C75"/>
    <w:rPr>
      <w:rFonts w:cs="Times New Roman"/>
      <w:b/>
      <w:bCs/>
      <w:lang w:val="x-none" w:eastAsia="x-none"/>
    </w:rPr>
  </w:style>
  <w:style w:type="character" w:customStyle="1" w:styleId="af2">
    <w:name w:val="נושא הערה תו"/>
    <w:link w:val="af1"/>
    <w:uiPriority w:val="99"/>
    <w:semiHidden/>
    <w:rsid w:val="004D4C75"/>
    <w:rPr>
      <w:b/>
      <w:bCs/>
    </w:rPr>
  </w:style>
  <w:style w:type="table" w:styleId="-1">
    <w:name w:val="Light List Accent 1"/>
    <w:basedOn w:val="a1"/>
    <w:uiPriority w:val="61"/>
    <w:rsid w:val="00720B2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5">
    <w:name w:val="Light List Accent 5"/>
    <w:basedOn w:val="a1"/>
    <w:uiPriority w:val="61"/>
    <w:rsid w:val="000A50F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0">
    <w:name w:val="Light Shading Accent 5"/>
    <w:basedOn w:val="a1"/>
    <w:uiPriority w:val="60"/>
    <w:rsid w:val="001513B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
    <w:name w:val="Light Shading Accent 2"/>
    <w:basedOn w:val="a1"/>
    <w:uiPriority w:val="60"/>
    <w:rsid w:val="006E259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f3">
    <w:name w:val="Light Shading"/>
    <w:basedOn w:val="a1"/>
    <w:uiPriority w:val="60"/>
    <w:rsid w:val="00F332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4">
    <w:name w:val="Light Shading Accent 4"/>
    <w:basedOn w:val="a1"/>
    <w:uiPriority w:val="60"/>
    <w:rsid w:val="00CC221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0">
    <w:name w:val="Light Shading Accent 1"/>
    <w:basedOn w:val="a1"/>
    <w:uiPriority w:val="60"/>
    <w:rsid w:val="00CC221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List Accent 2"/>
    <w:basedOn w:val="a1"/>
    <w:uiPriority w:val="61"/>
    <w:rsid w:val="00DC682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Hyperlink">
    <w:name w:val="Hyperlink"/>
    <w:basedOn w:val="a0"/>
    <w:uiPriority w:val="99"/>
    <w:unhideWhenUsed/>
    <w:rsid w:val="00EC01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9466">
      <w:bodyDiv w:val="1"/>
      <w:marLeft w:val="0"/>
      <w:marRight w:val="0"/>
      <w:marTop w:val="0"/>
      <w:marBottom w:val="0"/>
      <w:divBdr>
        <w:top w:val="none" w:sz="0" w:space="0" w:color="auto"/>
        <w:left w:val="none" w:sz="0" w:space="0" w:color="auto"/>
        <w:bottom w:val="none" w:sz="0" w:space="0" w:color="auto"/>
        <w:right w:val="none" w:sz="0" w:space="0" w:color="auto"/>
      </w:divBdr>
    </w:div>
    <w:div w:id="261957003">
      <w:bodyDiv w:val="1"/>
      <w:marLeft w:val="0"/>
      <w:marRight w:val="0"/>
      <w:marTop w:val="0"/>
      <w:marBottom w:val="0"/>
      <w:divBdr>
        <w:top w:val="none" w:sz="0" w:space="0" w:color="auto"/>
        <w:left w:val="none" w:sz="0" w:space="0" w:color="auto"/>
        <w:bottom w:val="none" w:sz="0" w:space="0" w:color="auto"/>
        <w:right w:val="none" w:sz="0" w:space="0" w:color="auto"/>
      </w:divBdr>
    </w:div>
    <w:div w:id="34999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hyperlink" Target="http://www.tnuda.org.il" TargetMode="Externa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dx.doi.org/10.15585/mmwr.mm6639e1" TargetMode="External"/><Relationship Id="rId1" Type="http://schemas.openxmlformats.org/officeDocument/2006/relationships/hyperlink" Target="https://he.wikipedia.org/wiki/%D7%98%D7%9C%D7%A4%D7%95%D7%9F_%D7%A1%D7%9C%D7%95%D7%9C%D7%A8%D7%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189370837315857E-2"/>
          <c:y val="4.0938494413861985E-2"/>
          <c:w val="0.88731737290064172"/>
          <c:h val="0.84475254442115599"/>
        </c:manualLayout>
      </c:layout>
      <c:barChart>
        <c:barDir val="col"/>
        <c:grouping val="clustered"/>
        <c:varyColors val="0"/>
        <c:ser>
          <c:idx val="0"/>
          <c:order val="0"/>
          <c:tx>
            <c:strRef>
              <c:f>Sheet2!$B$47</c:f>
              <c:strCache>
                <c:ptCount val="1"/>
                <c:pt idx="0">
                  <c:v>atrocytomas</c:v>
                </c:pt>
              </c:strCache>
            </c:strRef>
          </c:tx>
          <c:invertIfNegative val="0"/>
          <c:cat>
            <c:strRef>
              <c:f>Sheet2!$A$48:$A$50</c:f>
              <c:strCache>
                <c:ptCount val="3"/>
                <c:pt idx="0">
                  <c:v>0 to 19</c:v>
                </c:pt>
                <c:pt idx="1">
                  <c:v>20 to 64</c:v>
                </c:pt>
                <c:pt idx="2">
                  <c:v>65 and over</c:v>
                </c:pt>
              </c:strCache>
            </c:strRef>
          </c:cat>
          <c:val>
            <c:numRef>
              <c:f>Sheet2!$B$48:$B$50</c:f>
              <c:numCache>
                <c:formatCode>0.0%</c:formatCode>
                <c:ptCount val="3"/>
                <c:pt idx="0">
                  <c:v>0.35919364691508859</c:v>
                </c:pt>
                <c:pt idx="1">
                  <c:v>0.2539936102236422</c:v>
                </c:pt>
                <c:pt idx="2">
                  <c:v>0.1037147102526003</c:v>
                </c:pt>
              </c:numCache>
            </c:numRef>
          </c:val>
        </c:ser>
        <c:ser>
          <c:idx val="1"/>
          <c:order val="1"/>
          <c:tx>
            <c:strRef>
              <c:f>Sheet2!$C$47</c:f>
              <c:strCache>
                <c:ptCount val="1"/>
                <c:pt idx="0">
                  <c:v>blood vessel tumors</c:v>
                </c:pt>
              </c:strCache>
            </c:strRef>
          </c:tx>
          <c:invertIfNegative val="0"/>
          <c:cat>
            <c:strRef>
              <c:f>Sheet2!$A$48:$A$50</c:f>
              <c:strCache>
                <c:ptCount val="3"/>
                <c:pt idx="0">
                  <c:v>0 to 19</c:v>
                </c:pt>
                <c:pt idx="1">
                  <c:v>20 to 64</c:v>
                </c:pt>
                <c:pt idx="2">
                  <c:v>65 and over</c:v>
                </c:pt>
              </c:strCache>
            </c:strRef>
          </c:cat>
          <c:val>
            <c:numRef>
              <c:f>Sheet2!$C$48:$C$50</c:f>
              <c:numCache>
                <c:formatCode>0.0%</c:formatCode>
                <c:ptCount val="3"/>
                <c:pt idx="0">
                  <c:v>1.2217470983506415E-3</c:v>
                </c:pt>
                <c:pt idx="1">
                  <c:v>4.193290734824281E-3</c:v>
                </c:pt>
                <c:pt idx="2">
                  <c:v>1.188707280832095E-3</c:v>
                </c:pt>
              </c:numCache>
            </c:numRef>
          </c:val>
        </c:ser>
        <c:ser>
          <c:idx val="2"/>
          <c:order val="2"/>
          <c:tx>
            <c:strRef>
              <c:f>Sheet2!$D$47</c:f>
              <c:strCache>
                <c:ptCount val="1"/>
                <c:pt idx="0">
                  <c:v>glioblastoma</c:v>
                </c:pt>
              </c:strCache>
            </c:strRef>
          </c:tx>
          <c:invertIfNegative val="0"/>
          <c:cat>
            <c:strRef>
              <c:f>Sheet2!$A$48:$A$50</c:f>
              <c:strCache>
                <c:ptCount val="3"/>
                <c:pt idx="0">
                  <c:v>0 to 19</c:v>
                </c:pt>
                <c:pt idx="1">
                  <c:v>20 to 64</c:v>
                </c:pt>
                <c:pt idx="2">
                  <c:v>65 and over</c:v>
                </c:pt>
              </c:strCache>
            </c:strRef>
          </c:cat>
          <c:val>
            <c:numRef>
              <c:f>Sheet2!$D$48:$D$50</c:f>
              <c:numCache>
                <c:formatCode>0.0%</c:formatCode>
                <c:ptCount val="3"/>
                <c:pt idx="0">
                  <c:v>5.3756872327428221E-2</c:v>
                </c:pt>
                <c:pt idx="1">
                  <c:v>0.41992811501597443</c:v>
                </c:pt>
                <c:pt idx="2">
                  <c:v>0.575631500742942</c:v>
                </c:pt>
              </c:numCache>
            </c:numRef>
          </c:val>
        </c:ser>
        <c:ser>
          <c:idx val="3"/>
          <c:order val="3"/>
          <c:tx>
            <c:strRef>
              <c:f>Sheet2!$E$47</c:f>
              <c:strCache>
                <c:ptCount val="1"/>
                <c:pt idx="0">
                  <c:v>meningioma</c:v>
                </c:pt>
              </c:strCache>
            </c:strRef>
          </c:tx>
          <c:invertIfNegative val="0"/>
          <c:cat>
            <c:strRef>
              <c:f>Sheet2!$A$48:$A$50</c:f>
              <c:strCache>
                <c:ptCount val="3"/>
                <c:pt idx="0">
                  <c:v>0 to 19</c:v>
                </c:pt>
                <c:pt idx="1">
                  <c:v>20 to 64</c:v>
                </c:pt>
                <c:pt idx="2">
                  <c:v>65 and over</c:v>
                </c:pt>
              </c:strCache>
            </c:strRef>
          </c:cat>
          <c:val>
            <c:numRef>
              <c:f>Sheet2!$E$48:$E$50</c:f>
              <c:numCache>
                <c:formatCode>0.0%</c:formatCode>
                <c:ptCount val="3"/>
                <c:pt idx="0">
                  <c:v>1.2217470983506415E-3</c:v>
                </c:pt>
                <c:pt idx="1">
                  <c:v>2.0567092651757189E-2</c:v>
                </c:pt>
                <c:pt idx="2">
                  <c:v>2.7043090638930165E-2</c:v>
                </c:pt>
              </c:numCache>
            </c:numRef>
          </c:val>
        </c:ser>
        <c:ser>
          <c:idx val="4"/>
          <c:order val="4"/>
          <c:tx>
            <c:strRef>
              <c:f>Sheet2!$F$47</c:f>
              <c:strCache>
                <c:ptCount val="1"/>
                <c:pt idx="0">
                  <c:v>other</c:v>
                </c:pt>
              </c:strCache>
            </c:strRef>
          </c:tx>
          <c:invertIfNegative val="0"/>
          <c:cat>
            <c:strRef>
              <c:f>Sheet2!$A$48:$A$50</c:f>
              <c:strCache>
                <c:ptCount val="3"/>
                <c:pt idx="0">
                  <c:v>0 to 19</c:v>
                </c:pt>
                <c:pt idx="1">
                  <c:v>20 to 64</c:v>
                </c:pt>
                <c:pt idx="2">
                  <c:v>65 and over</c:v>
                </c:pt>
              </c:strCache>
            </c:strRef>
          </c:cat>
          <c:val>
            <c:numRef>
              <c:f>Sheet2!$F$48:$F$50</c:f>
              <c:numCache>
                <c:formatCode>0.0%</c:formatCode>
                <c:ptCount val="3"/>
                <c:pt idx="0">
                  <c:v>0.11301160659743432</c:v>
                </c:pt>
                <c:pt idx="1">
                  <c:v>6.5095846645367411E-2</c:v>
                </c:pt>
                <c:pt idx="2">
                  <c:v>0.19554234769687964</c:v>
                </c:pt>
              </c:numCache>
            </c:numRef>
          </c:val>
        </c:ser>
        <c:ser>
          <c:idx val="5"/>
          <c:order val="5"/>
          <c:tx>
            <c:strRef>
              <c:f>Sheet2!$G$47</c:f>
              <c:strCache>
                <c:ptCount val="1"/>
                <c:pt idx="0">
                  <c:v>other glioma</c:v>
                </c:pt>
              </c:strCache>
            </c:strRef>
          </c:tx>
          <c:invertIfNegative val="0"/>
          <c:cat>
            <c:strRef>
              <c:f>Sheet2!$A$48:$A$50</c:f>
              <c:strCache>
                <c:ptCount val="3"/>
                <c:pt idx="0">
                  <c:v>0 to 19</c:v>
                </c:pt>
                <c:pt idx="1">
                  <c:v>20 to 64</c:v>
                </c:pt>
                <c:pt idx="2">
                  <c:v>65 and over</c:v>
                </c:pt>
              </c:strCache>
            </c:strRef>
          </c:cat>
          <c:val>
            <c:numRef>
              <c:f>Sheet2!$G$48:$G$50</c:f>
              <c:numCache>
                <c:formatCode>0.0%</c:formatCode>
                <c:ptCount val="3"/>
                <c:pt idx="0">
                  <c:v>0.47159437996334758</c:v>
                </c:pt>
                <c:pt idx="1">
                  <c:v>0.2362220447284345</c:v>
                </c:pt>
                <c:pt idx="2">
                  <c:v>9.6879643387815753E-2</c:v>
                </c:pt>
              </c:numCache>
            </c:numRef>
          </c:val>
        </c:ser>
        <c:dLbls>
          <c:showLegendKey val="0"/>
          <c:showVal val="0"/>
          <c:showCatName val="0"/>
          <c:showSerName val="0"/>
          <c:showPercent val="0"/>
          <c:showBubbleSize val="0"/>
        </c:dLbls>
        <c:gapWidth val="150"/>
        <c:axId val="169745024"/>
        <c:axId val="169798656"/>
      </c:barChart>
      <c:catAx>
        <c:axId val="169745024"/>
        <c:scaling>
          <c:orientation val="minMax"/>
        </c:scaling>
        <c:delete val="0"/>
        <c:axPos val="b"/>
        <c:majorTickMark val="out"/>
        <c:minorTickMark val="none"/>
        <c:tickLblPos val="nextTo"/>
        <c:crossAx val="169798656"/>
        <c:crosses val="autoZero"/>
        <c:auto val="1"/>
        <c:lblAlgn val="ctr"/>
        <c:lblOffset val="100"/>
        <c:noMultiLvlLbl val="0"/>
      </c:catAx>
      <c:valAx>
        <c:axId val="169798656"/>
        <c:scaling>
          <c:orientation val="minMax"/>
        </c:scaling>
        <c:delete val="0"/>
        <c:axPos val="l"/>
        <c:numFmt formatCode="0%" sourceLinked="0"/>
        <c:majorTickMark val="out"/>
        <c:minorTickMark val="none"/>
        <c:tickLblPos val="nextTo"/>
        <c:crossAx val="169745024"/>
        <c:crosses val="autoZero"/>
        <c:crossBetween val="between"/>
      </c:valAx>
    </c:plotArea>
    <c:legend>
      <c:legendPos val="b"/>
      <c:layout>
        <c:manualLayout>
          <c:xMode val="edge"/>
          <c:yMode val="edge"/>
          <c:x val="0.1121900305442797"/>
          <c:y val="3.1289593318629773E-2"/>
          <c:w val="0.66967224148751214"/>
          <c:h val="0.1278474157169594"/>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2"/>
          <c:order val="0"/>
          <c:tx>
            <c:v>glioblastomas</c:v>
          </c:tx>
          <c:invertIfNegative val="0"/>
          <c:cat>
            <c:numRef>
              <c:f>Sheet1!$A$5:$A$29</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Sheet1!$G$5:$G$29</c:f>
              <c:numCache>
                <c:formatCode>General</c:formatCode>
                <c:ptCount val="25"/>
                <c:pt idx="0">
                  <c:v>33.33</c:v>
                </c:pt>
                <c:pt idx="1">
                  <c:v>28.77</c:v>
                </c:pt>
                <c:pt idx="2">
                  <c:v>32.93</c:v>
                </c:pt>
                <c:pt idx="3">
                  <c:v>29.41</c:v>
                </c:pt>
                <c:pt idx="4">
                  <c:v>23.97</c:v>
                </c:pt>
                <c:pt idx="5">
                  <c:v>37.840000000000003</c:v>
                </c:pt>
                <c:pt idx="6">
                  <c:v>34.979999999999997</c:v>
                </c:pt>
                <c:pt idx="7">
                  <c:v>39.36</c:v>
                </c:pt>
                <c:pt idx="8">
                  <c:v>36.18</c:v>
                </c:pt>
                <c:pt idx="9">
                  <c:v>40.369999999999997</c:v>
                </c:pt>
                <c:pt idx="10">
                  <c:v>44.29</c:v>
                </c:pt>
                <c:pt idx="11">
                  <c:v>44.78</c:v>
                </c:pt>
                <c:pt idx="12">
                  <c:v>46.32</c:v>
                </c:pt>
                <c:pt idx="13">
                  <c:v>43.77</c:v>
                </c:pt>
                <c:pt idx="14">
                  <c:v>42.86</c:v>
                </c:pt>
                <c:pt idx="15">
                  <c:v>46.17</c:v>
                </c:pt>
                <c:pt idx="16">
                  <c:v>41.25</c:v>
                </c:pt>
                <c:pt idx="17">
                  <c:v>45.8</c:v>
                </c:pt>
                <c:pt idx="18">
                  <c:v>39.619999999999997</c:v>
                </c:pt>
                <c:pt idx="19">
                  <c:v>42.83</c:v>
                </c:pt>
                <c:pt idx="20">
                  <c:v>39.33</c:v>
                </c:pt>
                <c:pt idx="21">
                  <c:v>42.04</c:v>
                </c:pt>
                <c:pt idx="22">
                  <c:v>43.76</c:v>
                </c:pt>
                <c:pt idx="23">
                  <c:v>46.86</c:v>
                </c:pt>
                <c:pt idx="24">
                  <c:v>47.21</c:v>
                </c:pt>
              </c:numCache>
            </c:numRef>
          </c:val>
        </c:ser>
        <c:ser>
          <c:idx val="0"/>
          <c:order val="1"/>
          <c:tx>
            <c:v>astrocytomas</c:v>
          </c:tx>
          <c:invertIfNegative val="0"/>
          <c:cat>
            <c:numRef>
              <c:f>Sheet1!$A$5:$A$29</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Sheet1!$C$5:$C$29</c:f>
              <c:numCache>
                <c:formatCode>General</c:formatCode>
                <c:ptCount val="25"/>
                <c:pt idx="0">
                  <c:v>27.56</c:v>
                </c:pt>
                <c:pt idx="1">
                  <c:v>33.33</c:v>
                </c:pt>
                <c:pt idx="2">
                  <c:v>32.11</c:v>
                </c:pt>
                <c:pt idx="3">
                  <c:v>28.72</c:v>
                </c:pt>
                <c:pt idx="4">
                  <c:v>31.85</c:v>
                </c:pt>
                <c:pt idx="5">
                  <c:v>27.03</c:v>
                </c:pt>
                <c:pt idx="6">
                  <c:v>24.77</c:v>
                </c:pt>
                <c:pt idx="7">
                  <c:v>20.7</c:v>
                </c:pt>
                <c:pt idx="8">
                  <c:v>23.53</c:v>
                </c:pt>
                <c:pt idx="9">
                  <c:v>24.46</c:v>
                </c:pt>
                <c:pt idx="10">
                  <c:v>21.17</c:v>
                </c:pt>
                <c:pt idx="11">
                  <c:v>22.53</c:v>
                </c:pt>
                <c:pt idx="12">
                  <c:v>21.32</c:v>
                </c:pt>
                <c:pt idx="13">
                  <c:v>24.69</c:v>
                </c:pt>
                <c:pt idx="14">
                  <c:v>23.96</c:v>
                </c:pt>
                <c:pt idx="15">
                  <c:v>20.41</c:v>
                </c:pt>
                <c:pt idx="16">
                  <c:v>21.67</c:v>
                </c:pt>
                <c:pt idx="17">
                  <c:v>19.25</c:v>
                </c:pt>
                <c:pt idx="18">
                  <c:v>16.559999999999999</c:v>
                </c:pt>
                <c:pt idx="19">
                  <c:v>20.63</c:v>
                </c:pt>
                <c:pt idx="20">
                  <c:v>18.97</c:v>
                </c:pt>
                <c:pt idx="21">
                  <c:v>19.8</c:v>
                </c:pt>
                <c:pt idx="22">
                  <c:v>16.71</c:v>
                </c:pt>
                <c:pt idx="23">
                  <c:v>16.95</c:v>
                </c:pt>
                <c:pt idx="24">
                  <c:v>16.73</c:v>
                </c:pt>
              </c:numCache>
            </c:numRef>
          </c:val>
        </c:ser>
        <c:ser>
          <c:idx val="5"/>
          <c:order val="2"/>
          <c:tx>
            <c:v>other gliomas</c:v>
          </c:tx>
          <c:invertIfNegative val="0"/>
          <c:cat>
            <c:numRef>
              <c:f>Sheet1!$A$5:$A$29</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Sheet1!$M$5:$M$29</c:f>
              <c:numCache>
                <c:formatCode>General</c:formatCode>
                <c:ptCount val="25"/>
                <c:pt idx="0">
                  <c:v>24</c:v>
                </c:pt>
                <c:pt idx="1">
                  <c:v>23.51</c:v>
                </c:pt>
                <c:pt idx="2">
                  <c:v>18.29</c:v>
                </c:pt>
                <c:pt idx="3">
                  <c:v>25.26</c:v>
                </c:pt>
                <c:pt idx="4">
                  <c:v>25.34</c:v>
                </c:pt>
                <c:pt idx="5">
                  <c:v>18.239999999999998</c:v>
                </c:pt>
                <c:pt idx="6">
                  <c:v>22.6</c:v>
                </c:pt>
                <c:pt idx="7">
                  <c:v>22.74</c:v>
                </c:pt>
                <c:pt idx="8">
                  <c:v>26.47</c:v>
                </c:pt>
                <c:pt idx="9">
                  <c:v>22.94</c:v>
                </c:pt>
                <c:pt idx="10">
                  <c:v>21.45</c:v>
                </c:pt>
                <c:pt idx="11">
                  <c:v>20.6</c:v>
                </c:pt>
                <c:pt idx="12">
                  <c:v>23.42</c:v>
                </c:pt>
                <c:pt idx="13">
                  <c:v>22.74</c:v>
                </c:pt>
                <c:pt idx="14">
                  <c:v>24.42</c:v>
                </c:pt>
                <c:pt idx="15">
                  <c:v>23.72</c:v>
                </c:pt>
                <c:pt idx="16">
                  <c:v>25.21</c:v>
                </c:pt>
                <c:pt idx="17">
                  <c:v>22.57</c:v>
                </c:pt>
                <c:pt idx="18">
                  <c:v>32.08</c:v>
                </c:pt>
                <c:pt idx="19">
                  <c:v>21.97</c:v>
                </c:pt>
                <c:pt idx="20">
                  <c:v>19.760000000000002</c:v>
                </c:pt>
                <c:pt idx="21">
                  <c:v>21.43</c:v>
                </c:pt>
                <c:pt idx="22">
                  <c:v>21.18</c:v>
                </c:pt>
                <c:pt idx="23">
                  <c:v>21.52</c:v>
                </c:pt>
                <c:pt idx="24">
                  <c:v>23.31</c:v>
                </c:pt>
              </c:numCache>
            </c:numRef>
          </c:val>
        </c:ser>
        <c:ser>
          <c:idx val="4"/>
          <c:order val="3"/>
          <c:tx>
            <c:v>other</c:v>
          </c:tx>
          <c:invertIfNegative val="0"/>
          <c:cat>
            <c:numRef>
              <c:f>Sheet1!$A$5:$A$29</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Sheet1!$K$5:$K$29</c:f>
              <c:numCache>
                <c:formatCode>General</c:formatCode>
                <c:ptCount val="25"/>
                <c:pt idx="0">
                  <c:v>13.33</c:v>
                </c:pt>
                <c:pt idx="1">
                  <c:v>14.04</c:v>
                </c:pt>
                <c:pt idx="2">
                  <c:v>15.45</c:v>
                </c:pt>
                <c:pt idx="3">
                  <c:v>14.53</c:v>
                </c:pt>
                <c:pt idx="4">
                  <c:v>17.12</c:v>
                </c:pt>
                <c:pt idx="5">
                  <c:v>13.85</c:v>
                </c:pt>
                <c:pt idx="6">
                  <c:v>12.69</c:v>
                </c:pt>
                <c:pt idx="7">
                  <c:v>14.87</c:v>
                </c:pt>
                <c:pt idx="8">
                  <c:v>11.76</c:v>
                </c:pt>
                <c:pt idx="9">
                  <c:v>10.4</c:v>
                </c:pt>
                <c:pt idx="10">
                  <c:v>10.86</c:v>
                </c:pt>
                <c:pt idx="11">
                  <c:v>10.44</c:v>
                </c:pt>
                <c:pt idx="12">
                  <c:v>6.58</c:v>
                </c:pt>
                <c:pt idx="13">
                  <c:v>7.58</c:v>
                </c:pt>
                <c:pt idx="14">
                  <c:v>5.07</c:v>
                </c:pt>
                <c:pt idx="15">
                  <c:v>8.16</c:v>
                </c:pt>
                <c:pt idx="16">
                  <c:v>10.83</c:v>
                </c:pt>
                <c:pt idx="17">
                  <c:v>11.28</c:v>
                </c:pt>
                <c:pt idx="18">
                  <c:v>10.69</c:v>
                </c:pt>
                <c:pt idx="19">
                  <c:v>13.45</c:v>
                </c:pt>
                <c:pt idx="20">
                  <c:v>18.77</c:v>
                </c:pt>
                <c:pt idx="21">
                  <c:v>14.08</c:v>
                </c:pt>
                <c:pt idx="22">
                  <c:v>15.06</c:v>
                </c:pt>
                <c:pt idx="23">
                  <c:v>11.43</c:v>
                </c:pt>
                <c:pt idx="24">
                  <c:v>9.36</c:v>
                </c:pt>
              </c:numCache>
            </c:numRef>
          </c:val>
        </c:ser>
        <c:ser>
          <c:idx val="1"/>
          <c:order val="4"/>
          <c:tx>
            <c:v>blood vessel tumors</c:v>
          </c:tx>
          <c:invertIfNegative val="0"/>
          <c:cat>
            <c:numRef>
              <c:f>Sheet1!$A$5:$A$29</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Sheet1!$E$5:$E$29</c:f>
              <c:numCache>
                <c:formatCode>General</c:formatCode>
                <c:ptCount val="25"/>
                <c:pt idx="0">
                  <c:v>0</c:v>
                </c:pt>
                <c:pt idx="1">
                  <c:v>0</c:v>
                </c:pt>
                <c:pt idx="2">
                  <c:v>0</c:v>
                </c:pt>
                <c:pt idx="3">
                  <c:v>0.69</c:v>
                </c:pt>
                <c:pt idx="4">
                  <c:v>0</c:v>
                </c:pt>
                <c:pt idx="5">
                  <c:v>0.34</c:v>
                </c:pt>
                <c:pt idx="6">
                  <c:v>0</c:v>
                </c:pt>
                <c:pt idx="7">
                  <c:v>0.28999999999999998</c:v>
                </c:pt>
                <c:pt idx="8">
                  <c:v>0.59</c:v>
                </c:pt>
                <c:pt idx="9">
                  <c:v>0.31</c:v>
                </c:pt>
                <c:pt idx="10">
                  <c:v>0</c:v>
                </c:pt>
                <c:pt idx="11">
                  <c:v>0.55000000000000004</c:v>
                </c:pt>
                <c:pt idx="12">
                  <c:v>0</c:v>
                </c:pt>
                <c:pt idx="13">
                  <c:v>0</c:v>
                </c:pt>
                <c:pt idx="14">
                  <c:v>0.46</c:v>
                </c:pt>
                <c:pt idx="15">
                  <c:v>0.26</c:v>
                </c:pt>
                <c:pt idx="16">
                  <c:v>0</c:v>
                </c:pt>
                <c:pt idx="17">
                  <c:v>0</c:v>
                </c:pt>
                <c:pt idx="18">
                  <c:v>0.63</c:v>
                </c:pt>
                <c:pt idx="19">
                  <c:v>0</c:v>
                </c:pt>
                <c:pt idx="20">
                  <c:v>0.99</c:v>
                </c:pt>
                <c:pt idx="21">
                  <c:v>0.41</c:v>
                </c:pt>
                <c:pt idx="22">
                  <c:v>0.24</c:v>
                </c:pt>
                <c:pt idx="23">
                  <c:v>0</c:v>
                </c:pt>
                <c:pt idx="24">
                  <c:v>0.6</c:v>
                </c:pt>
              </c:numCache>
            </c:numRef>
          </c:val>
        </c:ser>
        <c:ser>
          <c:idx val="3"/>
          <c:order val="5"/>
          <c:tx>
            <c:v>meningiomas</c:v>
          </c:tx>
          <c:invertIfNegative val="0"/>
          <c:cat>
            <c:numRef>
              <c:f>Sheet1!$A$5:$A$29</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Sheet1!$I$5:$I$29</c:f>
              <c:numCache>
                <c:formatCode>General</c:formatCode>
                <c:ptCount val="25"/>
                <c:pt idx="0">
                  <c:v>1.78</c:v>
                </c:pt>
                <c:pt idx="1">
                  <c:v>0.35</c:v>
                </c:pt>
                <c:pt idx="2">
                  <c:v>1.22</c:v>
                </c:pt>
                <c:pt idx="3">
                  <c:v>1.38</c:v>
                </c:pt>
                <c:pt idx="4">
                  <c:v>1.71</c:v>
                </c:pt>
                <c:pt idx="5">
                  <c:v>2.7</c:v>
                </c:pt>
                <c:pt idx="6">
                  <c:v>4.95</c:v>
                </c:pt>
                <c:pt idx="7">
                  <c:v>2.04</c:v>
                </c:pt>
                <c:pt idx="8">
                  <c:v>1.47</c:v>
                </c:pt>
                <c:pt idx="9">
                  <c:v>1.53</c:v>
                </c:pt>
                <c:pt idx="10">
                  <c:v>2.23</c:v>
                </c:pt>
                <c:pt idx="11">
                  <c:v>1.1000000000000001</c:v>
                </c:pt>
                <c:pt idx="12">
                  <c:v>2.37</c:v>
                </c:pt>
                <c:pt idx="13">
                  <c:v>1.22</c:v>
                </c:pt>
                <c:pt idx="14">
                  <c:v>3.23</c:v>
                </c:pt>
                <c:pt idx="15">
                  <c:v>1.28</c:v>
                </c:pt>
                <c:pt idx="16">
                  <c:v>1.04</c:v>
                </c:pt>
                <c:pt idx="17">
                  <c:v>1.1100000000000001</c:v>
                </c:pt>
                <c:pt idx="18">
                  <c:v>0.42</c:v>
                </c:pt>
                <c:pt idx="19">
                  <c:v>1.1200000000000001</c:v>
                </c:pt>
                <c:pt idx="20">
                  <c:v>2.17</c:v>
                </c:pt>
                <c:pt idx="21">
                  <c:v>2.2400000000000002</c:v>
                </c:pt>
                <c:pt idx="22">
                  <c:v>3.06</c:v>
                </c:pt>
                <c:pt idx="23">
                  <c:v>3.24</c:v>
                </c:pt>
                <c:pt idx="24">
                  <c:v>2.79</c:v>
                </c:pt>
              </c:numCache>
            </c:numRef>
          </c:val>
        </c:ser>
        <c:dLbls>
          <c:showLegendKey val="0"/>
          <c:showVal val="0"/>
          <c:showCatName val="0"/>
          <c:showSerName val="0"/>
          <c:showPercent val="0"/>
          <c:showBubbleSize val="0"/>
        </c:dLbls>
        <c:gapWidth val="150"/>
        <c:overlap val="100"/>
        <c:axId val="171304448"/>
        <c:axId val="171364352"/>
      </c:barChart>
      <c:catAx>
        <c:axId val="171304448"/>
        <c:scaling>
          <c:orientation val="minMax"/>
        </c:scaling>
        <c:delete val="0"/>
        <c:axPos val="b"/>
        <c:title>
          <c:tx>
            <c:rich>
              <a:bodyPr/>
              <a:lstStyle/>
              <a:p>
                <a:pPr>
                  <a:defRPr sz="800"/>
                </a:pPr>
                <a:r>
                  <a:rPr lang="en-US" sz="800"/>
                  <a:t>Year of diagnosis</a:t>
                </a:r>
              </a:p>
            </c:rich>
          </c:tx>
          <c:overlay val="0"/>
        </c:title>
        <c:numFmt formatCode="General" sourceLinked="1"/>
        <c:majorTickMark val="out"/>
        <c:minorTickMark val="none"/>
        <c:tickLblPos val="nextTo"/>
        <c:txPr>
          <a:bodyPr/>
          <a:lstStyle/>
          <a:p>
            <a:pPr>
              <a:defRPr sz="800"/>
            </a:pPr>
            <a:endParaRPr lang="he-IL"/>
          </a:p>
        </c:txPr>
        <c:crossAx val="171364352"/>
        <c:crosses val="autoZero"/>
        <c:auto val="1"/>
        <c:lblAlgn val="ctr"/>
        <c:lblOffset val="100"/>
        <c:noMultiLvlLbl val="0"/>
      </c:catAx>
      <c:valAx>
        <c:axId val="171364352"/>
        <c:scaling>
          <c:orientation val="minMax"/>
        </c:scaling>
        <c:delete val="0"/>
        <c:axPos val="l"/>
        <c:title>
          <c:tx>
            <c:rich>
              <a:bodyPr rot="-5400000" vert="horz"/>
              <a:lstStyle/>
              <a:p>
                <a:pPr>
                  <a:defRPr sz="800"/>
                </a:pPr>
                <a:r>
                  <a:rPr lang="en-US" sz="800"/>
                  <a:t>Percent of total cases</a:t>
                </a:r>
              </a:p>
            </c:rich>
          </c:tx>
          <c:overlay val="0"/>
        </c:title>
        <c:numFmt formatCode="0%" sourceLinked="1"/>
        <c:majorTickMark val="out"/>
        <c:minorTickMark val="none"/>
        <c:tickLblPos val="nextTo"/>
        <c:txPr>
          <a:bodyPr/>
          <a:lstStyle/>
          <a:p>
            <a:pPr>
              <a:defRPr sz="800"/>
            </a:pPr>
            <a:endParaRPr lang="he-IL"/>
          </a:p>
        </c:txPr>
        <c:crossAx val="171304448"/>
        <c:crosses val="autoZero"/>
        <c:crossBetween val="between"/>
      </c:valAx>
    </c:plotArea>
    <c:legend>
      <c:legendPos val="b"/>
      <c:overlay val="0"/>
      <c:txPr>
        <a:bodyPr/>
        <a:lstStyle/>
        <a:p>
          <a:pPr>
            <a:defRPr sz="800"/>
          </a:pPr>
          <a:endParaRPr lang="he-IL"/>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068173198003433E-2"/>
          <c:y val="4.5267489711934158E-2"/>
          <c:w val="0.88543857053995423"/>
          <c:h val="0.81264443796377306"/>
        </c:manualLayout>
      </c:layout>
      <c:lineChart>
        <c:grouping val="standard"/>
        <c:varyColors val="0"/>
        <c:ser>
          <c:idx val="0"/>
          <c:order val="0"/>
          <c:tx>
            <c:v>asr</c:v>
          </c:tx>
          <c:spPr>
            <a:ln>
              <a:noFill/>
            </a:ln>
          </c:spPr>
          <c:marker>
            <c:symbol val="diamond"/>
            <c:size val="7"/>
            <c:spPr>
              <a:solidFill>
                <a:schemeClr val="accent3"/>
              </a:solidFill>
              <a:ln>
                <a:noFill/>
              </a:ln>
            </c:spPr>
          </c:marker>
          <c:cat>
            <c:numRef>
              <c:f>'[malignant brain joinpoint.xlsx]Data'!$C$2:$C$26</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Data!$D$2:$D$26</c:f>
              <c:numCache>
                <c:formatCode>General</c:formatCode>
                <c:ptCount val="25"/>
                <c:pt idx="0">
                  <c:v>5.37</c:v>
                </c:pt>
                <c:pt idx="1">
                  <c:v>6.87</c:v>
                </c:pt>
                <c:pt idx="2">
                  <c:v>5.62</c:v>
                </c:pt>
                <c:pt idx="3">
                  <c:v>6.09</c:v>
                </c:pt>
                <c:pt idx="4">
                  <c:v>6.37</c:v>
                </c:pt>
                <c:pt idx="5">
                  <c:v>5.74</c:v>
                </c:pt>
                <c:pt idx="6">
                  <c:v>6.49</c:v>
                </c:pt>
                <c:pt idx="7">
                  <c:v>6.86</c:v>
                </c:pt>
                <c:pt idx="8">
                  <c:v>6.16</c:v>
                </c:pt>
                <c:pt idx="9">
                  <c:v>5.97</c:v>
                </c:pt>
                <c:pt idx="10">
                  <c:v>6.73</c:v>
                </c:pt>
                <c:pt idx="11">
                  <c:v>5.96</c:v>
                </c:pt>
                <c:pt idx="12">
                  <c:v>6.82</c:v>
                </c:pt>
                <c:pt idx="13">
                  <c:v>6.21</c:v>
                </c:pt>
                <c:pt idx="14">
                  <c:v>7.47</c:v>
                </c:pt>
                <c:pt idx="15">
                  <c:v>5.64</c:v>
                </c:pt>
                <c:pt idx="16">
                  <c:v>7.92</c:v>
                </c:pt>
                <c:pt idx="17">
                  <c:v>6.47</c:v>
                </c:pt>
                <c:pt idx="18">
                  <c:v>7.11</c:v>
                </c:pt>
                <c:pt idx="19">
                  <c:v>6.87</c:v>
                </c:pt>
                <c:pt idx="20">
                  <c:v>6.43</c:v>
                </c:pt>
                <c:pt idx="21">
                  <c:v>6.45</c:v>
                </c:pt>
                <c:pt idx="22">
                  <c:v>5.52</c:v>
                </c:pt>
                <c:pt idx="23">
                  <c:v>7.53</c:v>
                </c:pt>
                <c:pt idx="24">
                  <c:v>6.28</c:v>
                </c:pt>
              </c:numCache>
            </c:numRef>
          </c:val>
          <c:smooth val="0"/>
        </c:ser>
        <c:ser>
          <c:idx val="1"/>
          <c:order val="1"/>
          <c:tx>
            <c:v>גברים יהודים</c:v>
          </c:tx>
          <c:spPr>
            <a:ln>
              <a:solidFill>
                <a:schemeClr val="accent3"/>
              </a:solidFill>
            </a:ln>
          </c:spPr>
          <c:marker>
            <c:symbol val="none"/>
          </c:marker>
          <c:cat>
            <c:numRef>
              <c:f>'[malignant brain joinpoint.xlsx]Data'!$C$2:$C$26</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Data!$E$2:$E$26</c:f>
              <c:numCache>
                <c:formatCode>General</c:formatCode>
                <c:ptCount val="25"/>
                <c:pt idx="0">
                  <c:v>6.14</c:v>
                </c:pt>
                <c:pt idx="1">
                  <c:v>6.16</c:v>
                </c:pt>
                <c:pt idx="2">
                  <c:v>6.19</c:v>
                </c:pt>
                <c:pt idx="3">
                  <c:v>6.22</c:v>
                </c:pt>
                <c:pt idx="4">
                  <c:v>6.24</c:v>
                </c:pt>
                <c:pt idx="5">
                  <c:v>6.27</c:v>
                </c:pt>
                <c:pt idx="6">
                  <c:v>6.3</c:v>
                </c:pt>
                <c:pt idx="7">
                  <c:v>6.32</c:v>
                </c:pt>
                <c:pt idx="8">
                  <c:v>6.35</c:v>
                </c:pt>
                <c:pt idx="9">
                  <c:v>6.38</c:v>
                </c:pt>
                <c:pt idx="10">
                  <c:v>6.41</c:v>
                </c:pt>
                <c:pt idx="11">
                  <c:v>6.43</c:v>
                </c:pt>
                <c:pt idx="12">
                  <c:v>6.46</c:v>
                </c:pt>
                <c:pt idx="13">
                  <c:v>6.49</c:v>
                </c:pt>
                <c:pt idx="14">
                  <c:v>6.52</c:v>
                </c:pt>
                <c:pt idx="15">
                  <c:v>6.54</c:v>
                </c:pt>
                <c:pt idx="16">
                  <c:v>6.57</c:v>
                </c:pt>
                <c:pt idx="17">
                  <c:v>6.6</c:v>
                </c:pt>
                <c:pt idx="18">
                  <c:v>6.63</c:v>
                </c:pt>
                <c:pt idx="19">
                  <c:v>6.66</c:v>
                </c:pt>
                <c:pt idx="20">
                  <c:v>6.69</c:v>
                </c:pt>
                <c:pt idx="21">
                  <c:v>6.71</c:v>
                </c:pt>
                <c:pt idx="22">
                  <c:v>6.74</c:v>
                </c:pt>
                <c:pt idx="23">
                  <c:v>6.77</c:v>
                </c:pt>
                <c:pt idx="24">
                  <c:v>6.8</c:v>
                </c:pt>
              </c:numCache>
            </c:numRef>
          </c:val>
          <c:smooth val="0"/>
        </c:ser>
        <c:ser>
          <c:idx val="2"/>
          <c:order val="2"/>
          <c:spPr>
            <a:ln w="28575">
              <a:noFill/>
            </a:ln>
          </c:spPr>
          <c:marker>
            <c:symbol val="triangle"/>
            <c:size val="7"/>
            <c:spPr>
              <a:solidFill>
                <a:schemeClr val="accent4"/>
              </a:solidFill>
              <a:ln>
                <a:noFill/>
              </a:ln>
            </c:spPr>
          </c:marker>
          <c:val>
            <c:numRef>
              <c:f>Data!$D$27:$D$51</c:f>
              <c:numCache>
                <c:formatCode>General</c:formatCode>
                <c:ptCount val="25"/>
                <c:pt idx="0">
                  <c:v>4.53</c:v>
                </c:pt>
                <c:pt idx="1">
                  <c:v>4.92</c:v>
                </c:pt>
                <c:pt idx="2">
                  <c:v>4.18</c:v>
                </c:pt>
                <c:pt idx="3">
                  <c:v>5.33</c:v>
                </c:pt>
                <c:pt idx="4">
                  <c:v>4.4000000000000004</c:v>
                </c:pt>
                <c:pt idx="5">
                  <c:v>4.47</c:v>
                </c:pt>
                <c:pt idx="6">
                  <c:v>4.5199999999999996</c:v>
                </c:pt>
                <c:pt idx="7">
                  <c:v>4.51</c:v>
                </c:pt>
                <c:pt idx="8">
                  <c:v>4.9800000000000004</c:v>
                </c:pt>
                <c:pt idx="9">
                  <c:v>4.0599999999999996</c:v>
                </c:pt>
                <c:pt idx="10">
                  <c:v>4.43</c:v>
                </c:pt>
                <c:pt idx="11">
                  <c:v>4.28</c:v>
                </c:pt>
                <c:pt idx="12">
                  <c:v>4.3899999999999997</c:v>
                </c:pt>
                <c:pt idx="13">
                  <c:v>5.08</c:v>
                </c:pt>
                <c:pt idx="14">
                  <c:v>4.71</c:v>
                </c:pt>
                <c:pt idx="15">
                  <c:v>4.6100000000000003</c:v>
                </c:pt>
                <c:pt idx="16">
                  <c:v>5.12</c:v>
                </c:pt>
                <c:pt idx="17">
                  <c:v>5.08</c:v>
                </c:pt>
                <c:pt idx="18">
                  <c:v>5.87</c:v>
                </c:pt>
                <c:pt idx="19">
                  <c:v>4.58</c:v>
                </c:pt>
                <c:pt idx="20">
                  <c:v>5.52</c:v>
                </c:pt>
                <c:pt idx="21">
                  <c:v>4.2699999999999996</c:v>
                </c:pt>
                <c:pt idx="22">
                  <c:v>4.1399999999999997</c:v>
                </c:pt>
                <c:pt idx="23">
                  <c:v>4</c:v>
                </c:pt>
                <c:pt idx="24">
                  <c:v>4.8099999999999996</c:v>
                </c:pt>
              </c:numCache>
            </c:numRef>
          </c:val>
          <c:smooth val="0"/>
        </c:ser>
        <c:ser>
          <c:idx val="3"/>
          <c:order val="3"/>
          <c:tx>
            <c:v>נשים יהודיות</c:v>
          </c:tx>
          <c:spPr>
            <a:ln w="28575">
              <a:solidFill>
                <a:schemeClr val="accent4"/>
              </a:solidFill>
            </a:ln>
          </c:spPr>
          <c:marker>
            <c:symbol val="none"/>
          </c:marker>
          <c:val>
            <c:numRef>
              <c:f>Data!$E$27:$E$51</c:f>
              <c:numCache>
                <c:formatCode>General</c:formatCode>
                <c:ptCount val="25"/>
                <c:pt idx="0">
                  <c:v>4.62</c:v>
                </c:pt>
                <c:pt idx="1">
                  <c:v>4.63</c:v>
                </c:pt>
                <c:pt idx="2">
                  <c:v>4.63</c:v>
                </c:pt>
                <c:pt idx="3">
                  <c:v>4.6399999999999997</c:v>
                </c:pt>
                <c:pt idx="4">
                  <c:v>4.6399999999999997</c:v>
                </c:pt>
                <c:pt idx="5">
                  <c:v>4.6500000000000004</c:v>
                </c:pt>
                <c:pt idx="6">
                  <c:v>4.6500000000000004</c:v>
                </c:pt>
                <c:pt idx="7">
                  <c:v>4.66</c:v>
                </c:pt>
                <c:pt idx="8">
                  <c:v>4.67</c:v>
                </c:pt>
                <c:pt idx="9">
                  <c:v>4.67</c:v>
                </c:pt>
                <c:pt idx="10">
                  <c:v>4.68</c:v>
                </c:pt>
                <c:pt idx="11">
                  <c:v>4.68</c:v>
                </c:pt>
                <c:pt idx="12">
                  <c:v>4.6900000000000004</c:v>
                </c:pt>
                <c:pt idx="13">
                  <c:v>4.7</c:v>
                </c:pt>
                <c:pt idx="14">
                  <c:v>4.7</c:v>
                </c:pt>
                <c:pt idx="15">
                  <c:v>4.71</c:v>
                </c:pt>
                <c:pt idx="16">
                  <c:v>4.71</c:v>
                </c:pt>
                <c:pt idx="17">
                  <c:v>4.72</c:v>
                </c:pt>
                <c:pt idx="18">
                  <c:v>4.72</c:v>
                </c:pt>
                <c:pt idx="19">
                  <c:v>4.7300000000000004</c:v>
                </c:pt>
                <c:pt idx="20">
                  <c:v>4.74</c:v>
                </c:pt>
                <c:pt idx="21">
                  <c:v>4.74</c:v>
                </c:pt>
                <c:pt idx="22">
                  <c:v>4.75</c:v>
                </c:pt>
                <c:pt idx="23">
                  <c:v>4.75</c:v>
                </c:pt>
                <c:pt idx="24">
                  <c:v>4.76</c:v>
                </c:pt>
              </c:numCache>
            </c:numRef>
          </c:val>
          <c:smooth val="0"/>
        </c:ser>
        <c:dLbls>
          <c:showLegendKey val="0"/>
          <c:showVal val="0"/>
          <c:showCatName val="0"/>
          <c:showSerName val="0"/>
          <c:showPercent val="0"/>
          <c:showBubbleSize val="0"/>
        </c:dLbls>
        <c:marker val="1"/>
        <c:smooth val="0"/>
        <c:axId val="73577984"/>
        <c:axId val="73579520"/>
      </c:lineChart>
      <c:catAx>
        <c:axId val="73577984"/>
        <c:scaling>
          <c:orientation val="minMax"/>
        </c:scaling>
        <c:delete val="0"/>
        <c:axPos val="b"/>
        <c:title>
          <c:tx>
            <c:rich>
              <a:bodyPr/>
              <a:lstStyle/>
              <a:p>
                <a:pPr>
                  <a:defRPr sz="800"/>
                </a:pPr>
                <a:r>
                  <a:rPr lang="he-IL" sz="800"/>
                  <a:t>שנת אבחנה</a:t>
                </a:r>
              </a:p>
            </c:rich>
          </c:tx>
          <c:overlay val="0"/>
        </c:title>
        <c:numFmt formatCode="General" sourceLinked="1"/>
        <c:majorTickMark val="out"/>
        <c:minorTickMark val="none"/>
        <c:tickLblPos val="nextTo"/>
        <c:txPr>
          <a:bodyPr/>
          <a:lstStyle/>
          <a:p>
            <a:pPr>
              <a:defRPr sz="800"/>
            </a:pPr>
            <a:endParaRPr lang="he-IL"/>
          </a:p>
        </c:txPr>
        <c:crossAx val="73579520"/>
        <c:crosses val="autoZero"/>
        <c:auto val="1"/>
        <c:lblAlgn val="ctr"/>
        <c:lblOffset val="100"/>
        <c:noMultiLvlLbl val="0"/>
      </c:catAx>
      <c:valAx>
        <c:axId val="73579520"/>
        <c:scaling>
          <c:orientation val="minMax"/>
        </c:scaling>
        <c:delete val="0"/>
        <c:axPos val="l"/>
        <c:title>
          <c:tx>
            <c:rich>
              <a:bodyPr rot="-5400000" vert="horz"/>
              <a:lstStyle/>
              <a:p>
                <a:pPr>
                  <a:defRPr sz="800"/>
                </a:pPr>
                <a:r>
                  <a:rPr lang="he-IL" sz="800"/>
                  <a:t>היארעות</a:t>
                </a:r>
                <a:r>
                  <a:rPr lang="he-IL" sz="800" baseline="0"/>
                  <a:t> </a:t>
                </a:r>
                <a:r>
                  <a:rPr lang="he-IL" sz="800"/>
                  <a:t>ל-100,000 מתוקנן לגיל </a:t>
                </a:r>
              </a:p>
            </c:rich>
          </c:tx>
          <c:overlay val="0"/>
        </c:title>
        <c:numFmt formatCode="General" sourceLinked="1"/>
        <c:majorTickMark val="out"/>
        <c:minorTickMark val="none"/>
        <c:tickLblPos val="nextTo"/>
        <c:txPr>
          <a:bodyPr/>
          <a:lstStyle/>
          <a:p>
            <a:pPr>
              <a:defRPr sz="800"/>
            </a:pPr>
            <a:endParaRPr lang="he-IL"/>
          </a:p>
        </c:txPr>
        <c:crossAx val="73577984"/>
        <c:crosses val="autoZero"/>
        <c:crossBetween val="between"/>
      </c:valAx>
    </c:plotArea>
    <c:legend>
      <c:legendPos val="b"/>
      <c:legendEntry>
        <c:idx val="0"/>
        <c:delete val="1"/>
      </c:legendEntry>
      <c:legendEntry>
        <c:idx val="2"/>
        <c:delete val="1"/>
      </c:legendEntry>
      <c:layout>
        <c:manualLayout>
          <c:xMode val="edge"/>
          <c:yMode val="edge"/>
          <c:x val="0.55422981809354754"/>
          <c:y val="0.73492466219500341"/>
          <c:w val="0.36832135388325676"/>
          <c:h val="5.7781017276952493E-2"/>
        </c:manualLayout>
      </c:layout>
      <c:overlay val="0"/>
      <c:txPr>
        <a:bodyPr/>
        <a:lstStyle/>
        <a:p>
          <a:pPr>
            <a:defRPr sz="800"/>
          </a:pPr>
          <a:endParaRPr lang="he-IL"/>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643299795858856E-2"/>
          <c:y val="4.1478129713423829E-2"/>
          <c:w val="0.88989373724117815"/>
          <c:h val="0.8170158311659006"/>
        </c:manualLayout>
      </c:layout>
      <c:lineChart>
        <c:grouping val="standard"/>
        <c:varyColors val="0"/>
        <c:ser>
          <c:idx val="0"/>
          <c:order val="0"/>
          <c:tx>
            <c:v>asr</c:v>
          </c:tx>
          <c:spPr>
            <a:ln>
              <a:noFill/>
            </a:ln>
          </c:spPr>
          <c:marker>
            <c:symbol val="diamond"/>
            <c:size val="7"/>
            <c:spPr>
              <a:solidFill>
                <a:schemeClr val="accent6"/>
              </a:solidFill>
              <a:ln>
                <a:noFill/>
              </a:ln>
            </c:spPr>
          </c:marker>
          <c:cat>
            <c:numRef>
              <c:f>'Z:\agudah l''milchamah b''sartan\[malignant brain joinpoint.xlsx]Data'!$C$2:$C$26</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Data!$D$52:$D$76</c:f>
              <c:numCache>
                <c:formatCode>General</c:formatCode>
                <c:ptCount val="25"/>
                <c:pt idx="0">
                  <c:v>3.97</c:v>
                </c:pt>
                <c:pt idx="1">
                  <c:v>3.27</c:v>
                </c:pt>
                <c:pt idx="2">
                  <c:v>1.04</c:v>
                </c:pt>
                <c:pt idx="3">
                  <c:v>2.83</c:v>
                </c:pt>
                <c:pt idx="4">
                  <c:v>4.91</c:v>
                </c:pt>
                <c:pt idx="5">
                  <c:v>6.42</c:v>
                </c:pt>
                <c:pt idx="6">
                  <c:v>5.44</c:v>
                </c:pt>
                <c:pt idx="7">
                  <c:v>4.4400000000000004</c:v>
                </c:pt>
                <c:pt idx="8">
                  <c:v>5.18</c:v>
                </c:pt>
                <c:pt idx="9">
                  <c:v>5.15</c:v>
                </c:pt>
                <c:pt idx="10">
                  <c:v>5.55</c:v>
                </c:pt>
                <c:pt idx="11">
                  <c:v>7.81</c:v>
                </c:pt>
                <c:pt idx="12">
                  <c:v>5.64</c:v>
                </c:pt>
                <c:pt idx="13">
                  <c:v>6.32</c:v>
                </c:pt>
                <c:pt idx="14">
                  <c:v>6.3</c:v>
                </c:pt>
                <c:pt idx="15">
                  <c:v>4.47</c:v>
                </c:pt>
                <c:pt idx="16">
                  <c:v>7.29</c:v>
                </c:pt>
                <c:pt idx="17">
                  <c:v>6.45</c:v>
                </c:pt>
                <c:pt idx="18">
                  <c:v>5.05</c:v>
                </c:pt>
                <c:pt idx="19">
                  <c:v>5.93</c:v>
                </c:pt>
                <c:pt idx="20">
                  <c:v>5.5</c:v>
                </c:pt>
                <c:pt idx="21">
                  <c:v>7.28</c:v>
                </c:pt>
                <c:pt idx="22">
                  <c:v>3.21</c:v>
                </c:pt>
                <c:pt idx="23">
                  <c:v>5.18</c:v>
                </c:pt>
                <c:pt idx="24">
                  <c:v>4.6399999999999997</c:v>
                </c:pt>
              </c:numCache>
            </c:numRef>
          </c:val>
          <c:smooth val="0"/>
        </c:ser>
        <c:ser>
          <c:idx val="1"/>
          <c:order val="1"/>
          <c:tx>
            <c:v>גברים ערבים</c:v>
          </c:tx>
          <c:spPr>
            <a:ln>
              <a:solidFill>
                <a:schemeClr val="accent6"/>
              </a:solidFill>
            </a:ln>
          </c:spPr>
          <c:marker>
            <c:symbol val="none"/>
          </c:marker>
          <c:cat>
            <c:numRef>
              <c:f>'Z:\agudah l''milchamah b''sartan\[malignant brain joinpoint.xlsx]Data'!$C$2:$C$26</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Data!$E$52:$E$76</c:f>
              <c:numCache>
                <c:formatCode>General</c:formatCode>
                <c:ptCount val="25"/>
                <c:pt idx="0">
                  <c:v>4.66</c:v>
                </c:pt>
                <c:pt idx="1">
                  <c:v>4.71</c:v>
                </c:pt>
                <c:pt idx="2">
                  <c:v>4.76</c:v>
                </c:pt>
                <c:pt idx="3">
                  <c:v>4.8099999999999996</c:v>
                </c:pt>
                <c:pt idx="4">
                  <c:v>4.8600000000000003</c:v>
                </c:pt>
                <c:pt idx="5">
                  <c:v>4.91</c:v>
                </c:pt>
                <c:pt idx="6">
                  <c:v>4.95</c:v>
                </c:pt>
                <c:pt idx="7">
                  <c:v>5.01</c:v>
                </c:pt>
                <c:pt idx="8">
                  <c:v>5.0599999999999996</c:v>
                </c:pt>
                <c:pt idx="9">
                  <c:v>5.1100000000000003</c:v>
                </c:pt>
                <c:pt idx="10">
                  <c:v>5.16</c:v>
                </c:pt>
                <c:pt idx="11">
                  <c:v>5.21</c:v>
                </c:pt>
                <c:pt idx="12">
                  <c:v>5.26</c:v>
                </c:pt>
                <c:pt idx="13">
                  <c:v>5.32</c:v>
                </c:pt>
                <c:pt idx="14">
                  <c:v>5.37</c:v>
                </c:pt>
                <c:pt idx="15">
                  <c:v>5.43</c:v>
                </c:pt>
                <c:pt idx="16">
                  <c:v>5.48</c:v>
                </c:pt>
                <c:pt idx="17">
                  <c:v>5.54</c:v>
                </c:pt>
                <c:pt idx="18">
                  <c:v>5.59</c:v>
                </c:pt>
                <c:pt idx="19">
                  <c:v>5.65</c:v>
                </c:pt>
                <c:pt idx="20">
                  <c:v>5.71</c:v>
                </c:pt>
                <c:pt idx="21">
                  <c:v>5.76</c:v>
                </c:pt>
                <c:pt idx="22">
                  <c:v>5.82</c:v>
                </c:pt>
                <c:pt idx="23">
                  <c:v>5.88</c:v>
                </c:pt>
                <c:pt idx="24">
                  <c:v>5.94</c:v>
                </c:pt>
              </c:numCache>
            </c:numRef>
          </c:val>
          <c:smooth val="0"/>
        </c:ser>
        <c:ser>
          <c:idx val="2"/>
          <c:order val="2"/>
          <c:spPr>
            <a:ln w="28575">
              <a:noFill/>
            </a:ln>
          </c:spPr>
          <c:marker>
            <c:symbol val="triangle"/>
            <c:size val="7"/>
            <c:spPr>
              <a:solidFill>
                <a:schemeClr val="accent5"/>
              </a:solidFill>
              <a:ln>
                <a:noFill/>
              </a:ln>
            </c:spPr>
          </c:marker>
          <c:val>
            <c:numRef>
              <c:f>Data!$D$77:$D$101</c:f>
              <c:numCache>
                <c:formatCode>General</c:formatCode>
                <c:ptCount val="25"/>
                <c:pt idx="0">
                  <c:v>3.58</c:v>
                </c:pt>
                <c:pt idx="1">
                  <c:v>3.38</c:v>
                </c:pt>
                <c:pt idx="2">
                  <c:v>3.84</c:v>
                </c:pt>
                <c:pt idx="3">
                  <c:v>1.29</c:v>
                </c:pt>
                <c:pt idx="4">
                  <c:v>2.0299999999999998</c:v>
                </c:pt>
                <c:pt idx="5">
                  <c:v>2.29</c:v>
                </c:pt>
                <c:pt idx="6">
                  <c:v>3.58</c:v>
                </c:pt>
                <c:pt idx="7">
                  <c:v>2.98</c:v>
                </c:pt>
                <c:pt idx="8">
                  <c:v>3.26</c:v>
                </c:pt>
                <c:pt idx="9">
                  <c:v>4.08</c:v>
                </c:pt>
                <c:pt idx="10">
                  <c:v>2.93</c:v>
                </c:pt>
                <c:pt idx="11">
                  <c:v>2.0699999999999998</c:v>
                </c:pt>
                <c:pt idx="12">
                  <c:v>5.0599999999999996</c:v>
                </c:pt>
                <c:pt idx="13">
                  <c:v>4.8600000000000003</c:v>
                </c:pt>
                <c:pt idx="14">
                  <c:v>3.78</c:v>
                </c:pt>
                <c:pt idx="15">
                  <c:v>3.11</c:v>
                </c:pt>
                <c:pt idx="16">
                  <c:v>3.56</c:v>
                </c:pt>
                <c:pt idx="17">
                  <c:v>2.5</c:v>
                </c:pt>
                <c:pt idx="18">
                  <c:v>4.17</c:v>
                </c:pt>
                <c:pt idx="19">
                  <c:v>3.89</c:v>
                </c:pt>
                <c:pt idx="20">
                  <c:v>4.66</c:v>
                </c:pt>
                <c:pt idx="21">
                  <c:v>4.1100000000000003</c:v>
                </c:pt>
                <c:pt idx="22">
                  <c:v>3.51</c:v>
                </c:pt>
                <c:pt idx="23">
                  <c:v>4.53</c:v>
                </c:pt>
                <c:pt idx="24">
                  <c:v>2.79</c:v>
                </c:pt>
              </c:numCache>
            </c:numRef>
          </c:val>
          <c:smooth val="0"/>
        </c:ser>
        <c:ser>
          <c:idx val="3"/>
          <c:order val="3"/>
          <c:tx>
            <c:v>נשים ערבים</c:v>
          </c:tx>
          <c:spPr>
            <a:ln w="28575">
              <a:solidFill>
                <a:schemeClr val="accent5"/>
              </a:solidFill>
            </a:ln>
          </c:spPr>
          <c:marker>
            <c:symbol val="none"/>
          </c:marker>
          <c:val>
            <c:numRef>
              <c:f>Data!$E$77:$E$101</c:f>
              <c:numCache>
                <c:formatCode>General</c:formatCode>
                <c:ptCount val="25"/>
                <c:pt idx="0">
                  <c:v>3</c:v>
                </c:pt>
                <c:pt idx="1">
                  <c:v>3.04</c:v>
                </c:pt>
                <c:pt idx="2">
                  <c:v>3.08</c:v>
                </c:pt>
                <c:pt idx="3">
                  <c:v>3.12</c:v>
                </c:pt>
                <c:pt idx="4">
                  <c:v>3.15</c:v>
                </c:pt>
                <c:pt idx="5">
                  <c:v>3.19</c:v>
                </c:pt>
                <c:pt idx="6">
                  <c:v>3.23</c:v>
                </c:pt>
                <c:pt idx="7">
                  <c:v>3.28</c:v>
                </c:pt>
                <c:pt idx="8">
                  <c:v>3.32</c:v>
                </c:pt>
                <c:pt idx="9">
                  <c:v>3.36</c:v>
                </c:pt>
                <c:pt idx="10">
                  <c:v>3.4</c:v>
                </c:pt>
                <c:pt idx="11">
                  <c:v>3.44</c:v>
                </c:pt>
                <c:pt idx="12">
                  <c:v>3.49</c:v>
                </c:pt>
                <c:pt idx="13">
                  <c:v>3.53</c:v>
                </c:pt>
                <c:pt idx="14">
                  <c:v>3.58</c:v>
                </c:pt>
                <c:pt idx="15">
                  <c:v>3.62</c:v>
                </c:pt>
                <c:pt idx="16">
                  <c:v>3.67</c:v>
                </c:pt>
                <c:pt idx="17">
                  <c:v>3.71</c:v>
                </c:pt>
                <c:pt idx="18">
                  <c:v>3.76</c:v>
                </c:pt>
                <c:pt idx="19">
                  <c:v>3.81</c:v>
                </c:pt>
                <c:pt idx="20">
                  <c:v>3.85</c:v>
                </c:pt>
                <c:pt idx="21">
                  <c:v>3.9</c:v>
                </c:pt>
                <c:pt idx="22">
                  <c:v>3.95</c:v>
                </c:pt>
                <c:pt idx="23">
                  <c:v>4</c:v>
                </c:pt>
                <c:pt idx="24">
                  <c:v>4.05</c:v>
                </c:pt>
              </c:numCache>
            </c:numRef>
          </c:val>
          <c:smooth val="0"/>
        </c:ser>
        <c:dLbls>
          <c:showLegendKey val="0"/>
          <c:showVal val="0"/>
          <c:showCatName val="0"/>
          <c:showSerName val="0"/>
          <c:showPercent val="0"/>
          <c:showBubbleSize val="0"/>
        </c:dLbls>
        <c:marker val="1"/>
        <c:smooth val="0"/>
        <c:axId val="161561984"/>
        <c:axId val="161567104"/>
      </c:lineChart>
      <c:catAx>
        <c:axId val="161561984"/>
        <c:scaling>
          <c:orientation val="minMax"/>
        </c:scaling>
        <c:delete val="0"/>
        <c:axPos val="b"/>
        <c:title>
          <c:tx>
            <c:rich>
              <a:bodyPr/>
              <a:lstStyle/>
              <a:p>
                <a:pPr>
                  <a:defRPr sz="800"/>
                </a:pPr>
                <a:r>
                  <a:rPr lang="he-IL" sz="800"/>
                  <a:t>שנת אבחנה</a:t>
                </a:r>
              </a:p>
            </c:rich>
          </c:tx>
          <c:overlay val="0"/>
        </c:title>
        <c:numFmt formatCode="General" sourceLinked="1"/>
        <c:majorTickMark val="out"/>
        <c:minorTickMark val="none"/>
        <c:tickLblPos val="nextTo"/>
        <c:txPr>
          <a:bodyPr/>
          <a:lstStyle/>
          <a:p>
            <a:pPr>
              <a:defRPr sz="800"/>
            </a:pPr>
            <a:endParaRPr lang="he-IL"/>
          </a:p>
        </c:txPr>
        <c:crossAx val="161567104"/>
        <c:crosses val="autoZero"/>
        <c:auto val="1"/>
        <c:lblAlgn val="ctr"/>
        <c:lblOffset val="100"/>
        <c:noMultiLvlLbl val="0"/>
      </c:catAx>
      <c:valAx>
        <c:axId val="161567104"/>
        <c:scaling>
          <c:orientation val="minMax"/>
        </c:scaling>
        <c:delete val="0"/>
        <c:axPos val="l"/>
        <c:title>
          <c:tx>
            <c:rich>
              <a:bodyPr rot="-5400000" vert="horz"/>
              <a:lstStyle/>
              <a:p>
                <a:pPr>
                  <a:defRPr sz="800"/>
                </a:pPr>
                <a:r>
                  <a:rPr lang="he-IL" sz="800"/>
                  <a:t>היארעות ל-100,000 מתוקנן לגיל </a:t>
                </a:r>
              </a:p>
            </c:rich>
          </c:tx>
          <c:overlay val="0"/>
        </c:title>
        <c:numFmt formatCode="General" sourceLinked="1"/>
        <c:majorTickMark val="out"/>
        <c:minorTickMark val="none"/>
        <c:tickLblPos val="nextTo"/>
        <c:txPr>
          <a:bodyPr/>
          <a:lstStyle/>
          <a:p>
            <a:pPr>
              <a:defRPr sz="800"/>
            </a:pPr>
            <a:endParaRPr lang="he-IL"/>
          </a:p>
        </c:txPr>
        <c:crossAx val="161561984"/>
        <c:crosses val="autoZero"/>
        <c:crossBetween val="between"/>
      </c:valAx>
    </c:plotArea>
    <c:legend>
      <c:legendPos val="b"/>
      <c:legendEntry>
        <c:idx val="0"/>
        <c:delete val="1"/>
      </c:legendEntry>
      <c:legendEntry>
        <c:idx val="2"/>
        <c:delete val="1"/>
      </c:legendEntry>
      <c:layout>
        <c:manualLayout>
          <c:xMode val="edge"/>
          <c:yMode val="edge"/>
          <c:x val="0.63023371777540571"/>
          <c:y val="0.78057783969628358"/>
          <c:w val="0.34659703995333918"/>
          <c:h val="5.5439925104903288E-2"/>
        </c:manualLayout>
      </c:layout>
      <c:overlay val="0"/>
      <c:txPr>
        <a:bodyPr/>
        <a:lstStyle/>
        <a:p>
          <a:pPr>
            <a:defRPr sz="800"/>
          </a:pPr>
          <a:endParaRPr lang="he-IL"/>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right</c:v>
          </c:tx>
          <c:invertIfNegative val="0"/>
          <c:cat>
            <c:numRef>
              <c:f>sides!$A$37:$A$61</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sides!$E$37:$E$61</c:f>
              <c:numCache>
                <c:formatCode>General</c:formatCode>
                <c:ptCount val="25"/>
                <c:pt idx="0">
                  <c:v>20</c:v>
                </c:pt>
                <c:pt idx="1">
                  <c:v>27.72</c:v>
                </c:pt>
                <c:pt idx="2">
                  <c:v>23.58</c:v>
                </c:pt>
                <c:pt idx="3">
                  <c:v>26.99</c:v>
                </c:pt>
                <c:pt idx="4">
                  <c:v>24.32</c:v>
                </c:pt>
                <c:pt idx="5">
                  <c:v>26.01</c:v>
                </c:pt>
                <c:pt idx="6">
                  <c:v>22.29</c:v>
                </c:pt>
                <c:pt idx="7">
                  <c:v>24.49</c:v>
                </c:pt>
                <c:pt idx="8">
                  <c:v>23.24</c:v>
                </c:pt>
                <c:pt idx="9">
                  <c:v>27.83</c:v>
                </c:pt>
                <c:pt idx="10">
                  <c:v>26.18</c:v>
                </c:pt>
                <c:pt idx="11">
                  <c:v>23.35</c:v>
                </c:pt>
                <c:pt idx="12">
                  <c:v>22.63</c:v>
                </c:pt>
                <c:pt idx="13">
                  <c:v>24.69</c:v>
                </c:pt>
                <c:pt idx="14">
                  <c:v>26.04</c:v>
                </c:pt>
                <c:pt idx="15">
                  <c:v>25</c:v>
                </c:pt>
                <c:pt idx="16">
                  <c:v>23.13</c:v>
                </c:pt>
                <c:pt idx="17">
                  <c:v>24.78</c:v>
                </c:pt>
                <c:pt idx="18">
                  <c:v>25.79</c:v>
                </c:pt>
                <c:pt idx="19">
                  <c:v>27.58</c:v>
                </c:pt>
                <c:pt idx="20">
                  <c:v>23.32</c:v>
                </c:pt>
                <c:pt idx="21">
                  <c:v>26.53</c:v>
                </c:pt>
                <c:pt idx="22">
                  <c:v>30.82</c:v>
                </c:pt>
                <c:pt idx="23">
                  <c:v>26.29</c:v>
                </c:pt>
                <c:pt idx="24">
                  <c:v>21.51</c:v>
                </c:pt>
              </c:numCache>
            </c:numRef>
          </c:val>
        </c:ser>
        <c:ser>
          <c:idx val="1"/>
          <c:order val="1"/>
          <c:tx>
            <c:v>left</c:v>
          </c:tx>
          <c:invertIfNegative val="0"/>
          <c:cat>
            <c:numRef>
              <c:f>sides!$A$37:$A$61</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sides!$G$37:$G$61</c:f>
              <c:numCache>
                <c:formatCode>General</c:formatCode>
                <c:ptCount val="25"/>
                <c:pt idx="0">
                  <c:v>26.22</c:v>
                </c:pt>
                <c:pt idx="1">
                  <c:v>28.07</c:v>
                </c:pt>
                <c:pt idx="2">
                  <c:v>20.73</c:v>
                </c:pt>
                <c:pt idx="3">
                  <c:v>27.34</c:v>
                </c:pt>
                <c:pt idx="4">
                  <c:v>20.21</c:v>
                </c:pt>
                <c:pt idx="5">
                  <c:v>24.32</c:v>
                </c:pt>
                <c:pt idx="6">
                  <c:v>25.39</c:v>
                </c:pt>
                <c:pt idx="7">
                  <c:v>23.32</c:v>
                </c:pt>
                <c:pt idx="8">
                  <c:v>20.29</c:v>
                </c:pt>
                <c:pt idx="9">
                  <c:v>23.85</c:v>
                </c:pt>
                <c:pt idx="10">
                  <c:v>23.4</c:v>
                </c:pt>
                <c:pt idx="11">
                  <c:v>24.45</c:v>
                </c:pt>
                <c:pt idx="12">
                  <c:v>26.32</c:v>
                </c:pt>
                <c:pt idx="13">
                  <c:v>27.63</c:v>
                </c:pt>
                <c:pt idx="14">
                  <c:v>27.65</c:v>
                </c:pt>
                <c:pt idx="15">
                  <c:v>24.23</c:v>
                </c:pt>
                <c:pt idx="16">
                  <c:v>26.46</c:v>
                </c:pt>
                <c:pt idx="17">
                  <c:v>26.99</c:v>
                </c:pt>
                <c:pt idx="18">
                  <c:v>23.48</c:v>
                </c:pt>
                <c:pt idx="19">
                  <c:v>27.13</c:v>
                </c:pt>
                <c:pt idx="20">
                  <c:v>29.05</c:v>
                </c:pt>
                <c:pt idx="21">
                  <c:v>24.08</c:v>
                </c:pt>
                <c:pt idx="22">
                  <c:v>20.94</c:v>
                </c:pt>
                <c:pt idx="23">
                  <c:v>24.76</c:v>
                </c:pt>
                <c:pt idx="24">
                  <c:v>21.12</c:v>
                </c:pt>
              </c:numCache>
            </c:numRef>
          </c:val>
        </c:ser>
        <c:dLbls>
          <c:showLegendKey val="0"/>
          <c:showVal val="0"/>
          <c:showCatName val="0"/>
          <c:showSerName val="0"/>
          <c:showPercent val="0"/>
          <c:showBubbleSize val="0"/>
        </c:dLbls>
        <c:gapWidth val="150"/>
        <c:axId val="161580928"/>
        <c:axId val="161591296"/>
      </c:barChart>
      <c:catAx>
        <c:axId val="161580928"/>
        <c:scaling>
          <c:orientation val="minMax"/>
        </c:scaling>
        <c:delete val="0"/>
        <c:axPos val="b"/>
        <c:title>
          <c:tx>
            <c:rich>
              <a:bodyPr/>
              <a:lstStyle/>
              <a:p>
                <a:pPr>
                  <a:defRPr sz="800"/>
                </a:pPr>
                <a:r>
                  <a:rPr lang="he-IL" sz="800"/>
                  <a:t>שנת אבחנה</a:t>
                </a:r>
              </a:p>
            </c:rich>
          </c:tx>
          <c:overlay val="0"/>
        </c:title>
        <c:numFmt formatCode="General" sourceLinked="1"/>
        <c:majorTickMark val="out"/>
        <c:minorTickMark val="none"/>
        <c:tickLblPos val="nextTo"/>
        <c:txPr>
          <a:bodyPr/>
          <a:lstStyle/>
          <a:p>
            <a:pPr>
              <a:defRPr sz="800"/>
            </a:pPr>
            <a:endParaRPr lang="he-IL"/>
          </a:p>
        </c:txPr>
        <c:crossAx val="161591296"/>
        <c:crosses val="autoZero"/>
        <c:auto val="1"/>
        <c:lblAlgn val="ctr"/>
        <c:lblOffset val="100"/>
        <c:noMultiLvlLbl val="0"/>
      </c:catAx>
      <c:valAx>
        <c:axId val="161591296"/>
        <c:scaling>
          <c:orientation val="minMax"/>
        </c:scaling>
        <c:delete val="0"/>
        <c:axPos val="l"/>
        <c:title>
          <c:tx>
            <c:rich>
              <a:bodyPr rot="-5400000" vert="horz"/>
              <a:lstStyle/>
              <a:p>
                <a:pPr>
                  <a:defRPr sz="800"/>
                </a:pPr>
                <a:r>
                  <a:rPr lang="he-IL" sz="800"/>
                  <a:t>אחוז מקרים</a:t>
                </a:r>
              </a:p>
            </c:rich>
          </c:tx>
          <c:overlay val="0"/>
        </c:title>
        <c:numFmt formatCode="General" sourceLinked="1"/>
        <c:majorTickMark val="out"/>
        <c:minorTickMark val="none"/>
        <c:tickLblPos val="nextTo"/>
        <c:txPr>
          <a:bodyPr/>
          <a:lstStyle/>
          <a:p>
            <a:pPr>
              <a:defRPr sz="800"/>
            </a:pPr>
            <a:endParaRPr lang="he-IL"/>
          </a:p>
        </c:txPr>
        <c:crossAx val="161580928"/>
        <c:crosses val="autoZero"/>
        <c:crossBetween val="between"/>
      </c:valAx>
    </c:plotArea>
    <c:legend>
      <c:legendPos val="b"/>
      <c:overlay val="0"/>
      <c:txPr>
        <a:bodyPr/>
        <a:lstStyle/>
        <a:p>
          <a:pPr>
            <a:defRPr sz="800"/>
          </a:pPr>
          <a:endParaRPr lang="he-IL"/>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83756197142024E-2"/>
          <c:y val="3.9287047717761397E-2"/>
          <c:w val="0.89169947506561675"/>
          <c:h val="0.84643743353420775"/>
        </c:manualLayout>
      </c:layout>
      <c:barChart>
        <c:barDir val="col"/>
        <c:grouping val="clustered"/>
        <c:varyColors val="0"/>
        <c:ser>
          <c:idx val="0"/>
          <c:order val="0"/>
          <c:tx>
            <c:strRef>
              <c:f>Sheet2!$B$102</c:f>
              <c:strCache>
                <c:ptCount val="1"/>
                <c:pt idx="0">
                  <c:v>acoustic neuroma</c:v>
                </c:pt>
              </c:strCache>
            </c:strRef>
          </c:tx>
          <c:invertIfNegative val="0"/>
          <c:cat>
            <c:strRef>
              <c:f>Sheet2!$A$103:$A$105</c:f>
              <c:strCache>
                <c:ptCount val="3"/>
                <c:pt idx="0">
                  <c:v>0 to 19</c:v>
                </c:pt>
                <c:pt idx="1">
                  <c:v>20 to 64</c:v>
                </c:pt>
                <c:pt idx="2">
                  <c:v>65 and over</c:v>
                </c:pt>
              </c:strCache>
            </c:strRef>
          </c:cat>
          <c:val>
            <c:numRef>
              <c:f>Sheet2!$B$103:$B$105</c:f>
              <c:numCache>
                <c:formatCode>0.0%</c:formatCode>
                <c:ptCount val="3"/>
                <c:pt idx="0">
                  <c:v>4.8913043478260872E-2</c:v>
                </c:pt>
                <c:pt idx="1">
                  <c:v>8.1838289506021136E-2</c:v>
                </c:pt>
                <c:pt idx="2">
                  <c:v>3.3700787401574804E-2</c:v>
                </c:pt>
              </c:numCache>
            </c:numRef>
          </c:val>
        </c:ser>
        <c:ser>
          <c:idx val="1"/>
          <c:order val="1"/>
          <c:tx>
            <c:strRef>
              <c:f>Sheet2!$C$102</c:f>
              <c:strCache>
                <c:ptCount val="1"/>
                <c:pt idx="0">
                  <c:v>astrocytoma</c:v>
                </c:pt>
              </c:strCache>
            </c:strRef>
          </c:tx>
          <c:invertIfNegative val="0"/>
          <c:cat>
            <c:strRef>
              <c:f>Sheet2!$A$103:$A$105</c:f>
              <c:strCache>
                <c:ptCount val="3"/>
                <c:pt idx="0">
                  <c:v>0 to 19</c:v>
                </c:pt>
                <c:pt idx="1">
                  <c:v>20 to 64</c:v>
                </c:pt>
                <c:pt idx="2">
                  <c:v>65 and over</c:v>
                </c:pt>
              </c:strCache>
            </c:strRef>
          </c:cat>
          <c:val>
            <c:numRef>
              <c:f>Sheet2!$C$103:$C$105</c:f>
              <c:numCache>
                <c:formatCode>0.0%</c:formatCode>
                <c:ptCount val="3"/>
                <c:pt idx="0">
                  <c:v>4.1666666666666664E-2</c:v>
                </c:pt>
                <c:pt idx="1">
                  <c:v>4.915212582944212E-4</c:v>
                </c:pt>
                <c:pt idx="2">
                  <c:v>0</c:v>
                </c:pt>
              </c:numCache>
            </c:numRef>
          </c:val>
        </c:ser>
        <c:ser>
          <c:idx val="2"/>
          <c:order val="2"/>
          <c:tx>
            <c:strRef>
              <c:f>Sheet2!$D$102</c:f>
              <c:strCache>
                <c:ptCount val="1"/>
                <c:pt idx="0">
                  <c:v>blood vessel tumors</c:v>
                </c:pt>
              </c:strCache>
            </c:strRef>
          </c:tx>
          <c:invertIfNegative val="0"/>
          <c:cat>
            <c:strRef>
              <c:f>Sheet2!$A$103:$A$105</c:f>
              <c:strCache>
                <c:ptCount val="3"/>
                <c:pt idx="0">
                  <c:v>0 to 19</c:v>
                </c:pt>
                <c:pt idx="1">
                  <c:v>20 to 64</c:v>
                </c:pt>
                <c:pt idx="2">
                  <c:v>65 and over</c:v>
                </c:pt>
              </c:strCache>
            </c:strRef>
          </c:cat>
          <c:val>
            <c:numRef>
              <c:f>Sheet2!$D$103:$D$105</c:f>
              <c:numCache>
                <c:formatCode>0.0%</c:formatCode>
                <c:ptCount val="3"/>
                <c:pt idx="0">
                  <c:v>3.2608695652173912E-2</c:v>
                </c:pt>
                <c:pt idx="1">
                  <c:v>2.5681985745883509E-2</c:v>
                </c:pt>
                <c:pt idx="2">
                  <c:v>9.1338582677165346E-3</c:v>
                </c:pt>
              </c:numCache>
            </c:numRef>
          </c:val>
        </c:ser>
        <c:ser>
          <c:idx val="3"/>
          <c:order val="3"/>
          <c:tx>
            <c:strRef>
              <c:f>Sheet2!$E$102</c:f>
              <c:strCache>
                <c:ptCount val="1"/>
                <c:pt idx="0">
                  <c:v>glioblastoma</c:v>
                </c:pt>
              </c:strCache>
            </c:strRef>
          </c:tx>
          <c:invertIfNegative val="0"/>
          <c:cat>
            <c:strRef>
              <c:f>Sheet2!$A$103:$A$105</c:f>
              <c:strCache>
                <c:ptCount val="3"/>
                <c:pt idx="0">
                  <c:v>0 to 19</c:v>
                </c:pt>
                <c:pt idx="1">
                  <c:v>20 to 64</c:v>
                </c:pt>
                <c:pt idx="2">
                  <c:v>65 and over</c:v>
                </c:pt>
              </c:strCache>
            </c:strRef>
          </c:cat>
          <c:val>
            <c:numRef>
              <c:f>Sheet2!$E$103:$E$105</c:f>
              <c:numCache>
                <c:formatCode>0.0%</c:formatCode>
                <c:ptCount val="3"/>
                <c:pt idx="0">
                  <c:v>1.8115942028985507E-3</c:v>
                </c:pt>
                <c:pt idx="1">
                  <c:v>1.228803145736053E-4</c:v>
                </c:pt>
                <c:pt idx="2">
                  <c:v>0</c:v>
                </c:pt>
              </c:numCache>
            </c:numRef>
          </c:val>
        </c:ser>
        <c:ser>
          <c:idx val="4"/>
          <c:order val="4"/>
          <c:tx>
            <c:strRef>
              <c:f>Sheet2!$F$102</c:f>
              <c:strCache>
                <c:ptCount val="1"/>
                <c:pt idx="0">
                  <c:v>meningioma</c:v>
                </c:pt>
              </c:strCache>
            </c:strRef>
          </c:tx>
          <c:invertIfNegative val="0"/>
          <c:cat>
            <c:strRef>
              <c:f>Sheet2!$A$103:$A$105</c:f>
              <c:strCache>
                <c:ptCount val="3"/>
                <c:pt idx="0">
                  <c:v>0 to 19</c:v>
                </c:pt>
                <c:pt idx="1">
                  <c:v>20 to 64</c:v>
                </c:pt>
                <c:pt idx="2">
                  <c:v>65 and over</c:v>
                </c:pt>
              </c:strCache>
            </c:strRef>
          </c:cat>
          <c:val>
            <c:numRef>
              <c:f>Sheet2!$F$103:$F$105</c:f>
              <c:numCache>
                <c:formatCode>0.0%</c:formatCode>
                <c:ptCount val="3"/>
                <c:pt idx="0">
                  <c:v>0.10144927536231885</c:v>
                </c:pt>
                <c:pt idx="1">
                  <c:v>0.65065126566724008</c:v>
                </c:pt>
                <c:pt idx="2">
                  <c:v>0.75212598425196853</c:v>
                </c:pt>
              </c:numCache>
            </c:numRef>
          </c:val>
        </c:ser>
        <c:ser>
          <c:idx val="5"/>
          <c:order val="5"/>
          <c:tx>
            <c:strRef>
              <c:f>Sheet2!$G$102</c:f>
              <c:strCache>
                <c:ptCount val="1"/>
                <c:pt idx="0">
                  <c:v>other   </c:v>
                </c:pt>
              </c:strCache>
            </c:strRef>
          </c:tx>
          <c:invertIfNegative val="0"/>
          <c:cat>
            <c:strRef>
              <c:f>Sheet2!$A$103:$A$105</c:f>
              <c:strCache>
                <c:ptCount val="3"/>
                <c:pt idx="0">
                  <c:v>0 to 19</c:v>
                </c:pt>
                <c:pt idx="1">
                  <c:v>20 to 64</c:v>
                </c:pt>
                <c:pt idx="2">
                  <c:v>65 and over</c:v>
                </c:pt>
              </c:strCache>
            </c:strRef>
          </c:cat>
          <c:val>
            <c:numRef>
              <c:f>Sheet2!$G$103:$G$105</c:f>
              <c:numCache>
                <c:formatCode>0.0%</c:formatCode>
                <c:ptCount val="3"/>
                <c:pt idx="0">
                  <c:v>0.65579710144927539</c:v>
                </c:pt>
                <c:pt idx="1">
                  <c:v>0.14401572868026541</c:v>
                </c:pt>
                <c:pt idx="2">
                  <c:v>0.15417322834645669</c:v>
                </c:pt>
              </c:numCache>
            </c:numRef>
          </c:val>
        </c:ser>
        <c:ser>
          <c:idx val="6"/>
          <c:order val="6"/>
          <c:tx>
            <c:strRef>
              <c:f>Sheet2!$H$102</c:f>
              <c:strCache>
                <c:ptCount val="1"/>
                <c:pt idx="0">
                  <c:v>other glioma</c:v>
                </c:pt>
              </c:strCache>
            </c:strRef>
          </c:tx>
          <c:invertIfNegative val="0"/>
          <c:cat>
            <c:strRef>
              <c:f>Sheet2!$A$103:$A$105</c:f>
              <c:strCache>
                <c:ptCount val="3"/>
                <c:pt idx="0">
                  <c:v>0 to 19</c:v>
                </c:pt>
                <c:pt idx="1">
                  <c:v>20 to 64</c:v>
                </c:pt>
                <c:pt idx="2">
                  <c:v>65 and over</c:v>
                </c:pt>
              </c:strCache>
            </c:strRef>
          </c:cat>
          <c:val>
            <c:numRef>
              <c:f>Sheet2!$H$103:$H$105</c:f>
              <c:numCache>
                <c:formatCode>0.0%</c:formatCode>
                <c:ptCount val="3"/>
                <c:pt idx="0">
                  <c:v>9.0579710144927536E-2</c:v>
                </c:pt>
                <c:pt idx="1">
                  <c:v>8.9702629638731875E-3</c:v>
                </c:pt>
                <c:pt idx="2">
                  <c:v>2.0472440944881891E-3</c:v>
                </c:pt>
              </c:numCache>
            </c:numRef>
          </c:val>
        </c:ser>
        <c:ser>
          <c:idx val="7"/>
          <c:order val="7"/>
          <c:tx>
            <c:strRef>
              <c:f>Sheet2!$I$102</c:f>
              <c:strCache>
                <c:ptCount val="1"/>
                <c:pt idx="0">
                  <c:v>pituitary adenoma</c:v>
                </c:pt>
              </c:strCache>
            </c:strRef>
          </c:tx>
          <c:invertIfNegative val="0"/>
          <c:cat>
            <c:strRef>
              <c:f>Sheet2!$A$103:$A$105</c:f>
              <c:strCache>
                <c:ptCount val="3"/>
                <c:pt idx="0">
                  <c:v>0 to 19</c:v>
                </c:pt>
                <c:pt idx="1">
                  <c:v>20 to 64</c:v>
                </c:pt>
                <c:pt idx="2">
                  <c:v>65 and over</c:v>
                </c:pt>
              </c:strCache>
            </c:strRef>
          </c:cat>
          <c:val>
            <c:numRef>
              <c:f>Sheet2!$I$103:$I$105</c:f>
              <c:numCache>
                <c:formatCode>0.0%</c:formatCode>
                <c:ptCount val="3"/>
                <c:pt idx="0">
                  <c:v>2.717391304347826E-2</c:v>
                </c:pt>
                <c:pt idx="1">
                  <c:v>8.8228065863848612E-2</c:v>
                </c:pt>
                <c:pt idx="2">
                  <c:v>4.8818897637795275E-2</c:v>
                </c:pt>
              </c:numCache>
            </c:numRef>
          </c:val>
        </c:ser>
        <c:dLbls>
          <c:showLegendKey val="0"/>
          <c:showVal val="0"/>
          <c:showCatName val="0"/>
          <c:showSerName val="0"/>
          <c:showPercent val="0"/>
          <c:showBubbleSize val="0"/>
        </c:dLbls>
        <c:gapWidth val="150"/>
        <c:axId val="168457728"/>
        <c:axId val="168459264"/>
      </c:barChart>
      <c:catAx>
        <c:axId val="168457728"/>
        <c:scaling>
          <c:orientation val="minMax"/>
        </c:scaling>
        <c:delete val="0"/>
        <c:axPos val="b"/>
        <c:majorTickMark val="out"/>
        <c:minorTickMark val="none"/>
        <c:tickLblPos val="nextTo"/>
        <c:crossAx val="168459264"/>
        <c:crosses val="autoZero"/>
        <c:auto val="1"/>
        <c:lblAlgn val="ctr"/>
        <c:lblOffset val="100"/>
        <c:noMultiLvlLbl val="0"/>
      </c:catAx>
      <c:valAx>
        <c:axId val="168459264"/>
        <c:scaling>
          <c:orientation val="minMax"/>
        </c:scaling>
        <c:delete val="0"/>
        <c:axPos val="l"/>
        <c:numFmt formatCode="0%" sourceLinked="0"/>
        <c:majorTickMark val="out"/>
        <c:minorTickMark val="none"/>
        <c:tickLblPos val="nextTo"/>
        <c:crossAx val="168457728"/>
        <c:crosses val="autoZero"/>
        <c:crossBetween val="between"/>
      </c:valAx>
    </c:plotArea>
    <c:legend>
      <c:legendPos val="b"/>
      <c:layout>
        <c:manualLayout>
          <c:xMode val="edge"/>
          <c:yMode val="edge"/>
          <c:x val="7.7754811898512688E-2"/>
          <c:y val="4.2354724269888101E-2"/>
          <c:w val="0.85837926509186346"/>
          <c:h val="0.12266746911413143"/>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3"/>
          <c:order val="0"/>
          <c:tx>
            <c:v>meningiomas</c:v>
          </c:tx>
          <c:invertIfNegative val="0"/>
          <c:cat>
            <c:numRef>
              <c:f>Sheet1!$A$36:$A$60</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Sheet1!$K$36:$K$61</c:f>
              <c:numCache>
                <c:formatCode>General</c:formatCode>
                <c:ptCount val="26"/>
                <c:pt idx="0">
                  <c:v>54.92</c:v>
                </c:pt>
                <c:pt idx="1">
                  <c:v>57.79</c:v>
                </c:pt>
                <c:pt idx="2">
                  <c:v>57.66</c:v>
                </c:pt>
                <c:pt idx="3">
                  <c:v>50.89</c:v>
                </c:pt>
                <c:pt idx="4">
                  <c:v>57.17</c:v>
                </c:pt>
                <c:pt idx="5">
                  <c:v>60.32</c:v>
                </c:pt>
                <c:pt idx="6">
                  <c:v>69.17</c:v>
                </c:pt>
                <c:pt idx="7">
                  <c:v>69.31</c:v>
                </c:pt>
                <c:pt idx="8">
                  <c:v>68.069999999999993</c:v>
                </c:pt>
                <c:pt idx="9">
                  <c:v>62.92</c:v>
                </c:pt>
                <c:pt idx="10">
                  <c:v>68.31</c:v>
                </c:pt>
                <c:pt idx="11">
                  <c:v>67.42</c:v>
                </c:pt>
                <c:pt idx="12">
                  <c:v>67.3</c:v>
                </c:pt>
                <c:pt idx="13">
                  <c:v>69.78</c:v>
                </c:pt>
                <c:pt idx="14">
                  <c:v>69.58</c:v>
                </c:pt>
                <c:pt idx="15">
                  <c:v>71.7</c:v>
                </c:pt>
                <c:pt idx="16">
                  <c:v>67.27</c:v>
                </c:pt>
                <c:pt idx="17">
                  <c:v>69.77</c:v>
                </c:pt>
                <c:pt idx="18">
                  <c:v>72.45</c:v>
                </c:pt>
                <c:pt idx="19">
                  <c:v>70.2</c:v>
                </c:pt>
                <c:pt idx="20">
                  <c:v>68.760000000000005</c:v>
                </c:pt>
                <c:pt idx="21">
                  <c:v>66.88</c:v>
                </c:pt>
                <c:pt idx="22">
                  <c:v>71.319999999999993</c:v>
                </c:pt>
                <c:pt idx="23">
                  <c:v>70.78</c:v>
                </c:pt>
                <c:pt idx="24">
                  <c:v>72.790000000000006</c:v>
                </c:pt>
                <c:pt idx="25">
                  <c:v>76.06</c:v>
                </c:pt>
              </c:numCache>
            </c:numRef>
          </c:val>
        </c:ser>
        <c:ser>
          <c:idx val="4"/>
          <c:order val="1"/>
          <c:tx>
            <c:v>other</c:v>
          </c:tx>
          <c:invertIfNegative val="0"/>
          <c:cat>
            <c:numRef>
              <c:f>Sheet1!$A$36:$A$60</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Sheet1!$M$36:$M$61</c:f>
              <c:numCache>
                <c:formatCode>General</c:formatCode>
                <c:ptCount val="26"/>
                <c:pt idx="0">
                  <c:v>33.880000000000003</c:v>
                </c:pt>
                <c:pt idx="1">
                  <c:v>34.56</c:v>
                </c:pt>
                <c:pt idx="2">
                  <c:v>33.51</c:v>
                </c:pt>
                <c:pt idx="3">
                  <c:v>38.68</c:v>
                </c:pt>
                <c:pt idx="4">
                  <c:v>31.86</c:v>
                </c:pt>
                <c:pt idx="5">
                  <c:v>28.06</c:v>
                </c:pt>
                <c:pt idx="6">
                  <c:v>17.850000000000001</c:v>
                </c:pt>
                <c:pt idx="7">
                  <c:v>21.92</c:v>
                </c:pt>
                <c:pt idx="8">
                  <c:v>20</c:v>
                </c:pt>
                <c:pt idx="9">
                  <c:v>22.14</c:v>
                </c:pt>
                <c:pt idx="10">
                  <c:v>17.79</c:v>
                </c:pt>
                <c:pt idx="11">
                  <c:v>13.81</c:v>
                </c:pt>
                <c:pt idx="12">
                  <c:v>11.06</c:v>
                </c:pt>
                <c:pt idx="13">
                  <c:v>10.92</c:v>
                </c:pt>
                <c:pt idx="14">
                  <c:v>12.92</c:v>
                </c:pt>
                <c:pt idx="15">
                  <c:v>9.6199999999999992</c:v>
                </c:pt>
                <c:pt idx="16">
                  <c:v>11.47</c:v>
                </c:pt>
                <c:pt idx="17">
                  <c:v>9.92</c:v>
                </c:pt>
                <c:pt idx="18">
                  <c:v>10.79</c:v>
                </c:pt>
                <c:pt idx="19">
                  <c:v>11.58</c:v>
                </c:pt>
                <c:pt idx="20">
                  <c:v>12.55</c:v>
                </c:pt>
                <c:pt idx="21">
                  <c:v>14.06</c:v>
                </c:pt>
                <c:pt idx="22">
                  <c:v>14.85</c:v>
                </c:pt>
                <c:pt idx="23">
                  <c:v>12.5</c:v>
                </c:pt>
                <c:pt idx="24">
                  <c:v>10.23</c:v>
                </c:pt>
                <c:pt idx="25">
                  <c:v>8.23</c:v>
                </c:pt>
              </c:numCache>
            </c:numRef>
          </c:val>
        </c:ser>
        <c:ser>
          <c:idx val="0"/>
          <c:order val="2"/>
          <c:tx>
            <c:v>acoustic neuroma</c:v>
          </c:tx>
          <c:invertIfNegative val="0"/>
          <c:cat>
            <c:numRef>
              <c:f>Sheet1!$A$36:$A$60</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Sheet1!$C$36:$C$61</c:f>
              <c:numCache>
                <c:formatCode>General</c:formatCode>
                <c:ptCount val="26"/>
                <c:pt idx="0">
                  <c:v>7.92</c:v>
                </c:pt>
                <c:pt idx="1">
                  <c:v>4.25</c:v>
                </c:pt>
                <c:pt idx="2">
                  <c:v>4.16</c:v>
                </c:pt>
                <c:pt idx="3">
                  <c:v>6.36</c:v>
                </c:pt>
                <c:pt idx="4">
                  <c:v>6.75</c:v>
                </c:pt>
                <c:pt idx="5">
                  <c:v>5.81</c:v>
                </c:pt>
                <c:pt idx="6">
                  <c:v>6.9</c:v>
                </c:pt>
                <c:pt idx="7">
                  <c:v>4.18</c:v>
                </c:pt>
                <c:pt idx="8">
                  <c:v>5.5</c:v>
                </c:pt>
                <c:pt idx="9">
                  <c:v>7.73</c:v>
                </c:pt>
                <c:pt idx="10">
                  <c:v>5.98</c:v>
                </c:pt>
                <c:pt idx="11">
                  <c:v>6.91</c:v>
                </c:pt>
                <c:pt idx="12">
                  <c:v>6.79</c:v>
                </c:pt>
                <c:pt idx="13">
                  <c:v>4.59</c:v>
                </c:pt>
                <c:pt idx="14">
                  <c:v>3.66</c:v>
                </c:pt>
                <c:pt idx="15">
                  <c:v>6.04</c:v>
                </c:pt>
                <c:pt idx="16">
                  <c:v>6.15</c:v>
                </c:pt>
                <c:pt idx="17">
                  <c:v>5.56</c:v>
                </c:pt>
                <c:pt idx="18">
                  <c:v>4.2300000000000004</c:v>
                </c:pt>
                <c:pt idx="19">
                  <c:v>7.49</c:v>
                </c:pt>
                <c:pt idx="20">
                  <c:v>7.15</c:v>
                </c:pt>
                <c:pt idx="21">
                  <c:v>7.34</c:v>
                </c:pt>
                <c:pt idx="22">
                  <c:v>4.8</c:v>
                </c:pt>
                <c:pt idx="23">
                  <c:v>7.03</c:v>
                </c:pt>
                <c:pt idx="24">
                  <c:v>5.55</c:v>
                </c:pt>
                <c:pt idx="25">
                  <c:v>8.48</c:v>
                </c:pt>
              </c:numCache>
            </c:numRef>
          </c:val>
        </c:ser>
        <c:ser>
          <c:idx val="6"/>
          <c:order val="3"/>
          <c:tx>
            <c:v>pituitary adenoma</c:v>
          </c:tx>
          <c:invertIfNegative val="0"/>
          <c:cat>
            <c:numRef>
              <c:f>Sheet1!$A$36:$A$60</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Sheet1!$Q$36:$Q$61</c:f>
              <c:numCache>
                <c:formatCode>General</c:formatCode>
                <c:ptCount val="26"/>
                <c:pt idx="0">
                  <c:v>1.37</c:v>
                </c:pt>
                <c:pt idx="1">
                  <c:v>0.85</c:v>
                </c:pt>
                <c:pt idx="2">
                  <c:v>2.34</c:v>
                </c:pt>
                <c:pt idx="3">
                  <c:v>1.27</c:v>
                </c:pt>
                <c:pt idx="4">
                  <c:v>2.3199999999999998</c:v>
                </c:pt>
                <c:pt idx="5">
                  <c:v>2.4</c:v>
                </c:pt>
                <c:pt idx="6">
                  <c:v>2.4300000000000002</c:v>
                </c:pt>
                <c:pt idx="7">
                  <c:v>3.13</c:v>
                </c:pt>
                <c:pt idx="8">
                  <c:v>4.22</c:v>
                </c:pt>
                <c:pt idx="9">
                  <c:v>4.92</c:v>
                </c:pt>
                <c:pt idx="10">
                  <c:v>5.53</c:v>
                </c:pt>
                <c:pt idx="11">
                  <c:v>8.41</c:v>
                </c:pt>
                <c:pt idx="12">
                  <c:v>12.01</c:v>
                </c:pt>
                <c:pt idx="13">
                  <c:v>12.66</c:v>
                </c:pt>
                <c:pt idx="14">
                  <c:v>10.44</c:v>
                </c:pt>
                <c:pt idx="15">
                  <c:v>9.75</c:v>
                </c:pt>
                <c:pt idx="16">
                  <c:v>12.17</c:v>
                </c:pt>
                <c:pt idx="17">
                  <c:v>11.58</c:v>
                </c:pt>
                <c:pt idx="18">
                  <c:v>8.16</c:v>
                </c:pt>
                <c:pt idx="19">
                  <c:v>7.91</c:v>
                </c:pt>
                <c:pt idx="20">
                  <c:v>8.32</c:v>
                </c:pt>
                <c:pt idx="21">
                  <c:v>7.66</c:v>
                </c:pt>
                <c:pt idx="22">
                  <c:v>6.4</c:v>
                </c:pt>
                <c:pt idx="23">
                  <c:v>6.25</c:v>
                </c:pt>
                <c:pt idx="24">
                  <c:v>6.76</c:v>
                </c:pt>
                <c:pt idx="25">
                  <c:v>3.74</c:v>
                </c:pt>
              </c:numCache>
            </c:numRef>
          </c:val>
        </c:ser>
        <c:ser>
          <c:idx val="2"/>
          <c:order val="4"/>
          <c:tx>
            <c:v>blood vessel tumors</c:v>
          </c:tx>
          <c:invertIfNegative val="0"/>
          <c:cat>
            <c:numRef>
              <c:f>Sheet1!$A$36:$A$60</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Sheet1!$G$36:$G$61</c:f>
              <c:numCache>
                <c:formatCode>General</c:formatCode>
                <c:ptCount val="26"/>
                <c:pt idx="0">
                  <c:v>1.37</c:v>
                </c:pt>
                <c:pt idx="1">
                  <c:v>1.1299999999999999</c:v>
                </c:pt>
                <c:pt idx="2">
                  <c:v>2.08</c:v>
                </c:pt>
                <c:pt idx="3">
                  <c:v>2.8</c:v>
                </c:pt>
                <c:pt idx="4">
                  <c:v>0.84</c:v>
                </c:pt>
                <c:pt idx="5">
                  <c:v>2.2000000000000002</c:v>
                </c:pt>
                <c:pt idx="6">
                  <c:v>2.23</c:v>
                </c:pt>
                <c:pt idx="7">
                  <c:v>1.04</c:v>
                </c:pt>
                <c:pt idx="8">
                  <c:v>1.47</c:v>
                </c:pt>
                <c:pt idx="9">
                  <c:v>1.23</c:v>
                </c:pt>
                <c:pt idx="10">
                  <c:v>1.94</c:v>
                </c:pt>
                <c:pt idx="11">
                  <c:v>2.4</c:v>
                </c:pt>
                <c:pt idx="12">
                  <c:v>1.74</c:v>
                </c:pt>
                <c:pt idx="13">
                  <c:v>1.58</c:v>
                </c:pt>
                <c:pt idx="14">
                  <c:v>1.96</c:v>
                </c:pt>
                <c:pt idx="15">
                  <c:v>2.2000000000000002</c:v>
                </c:pt>
                <c:pt idx="16">
                  <c:v>1.54</c:v>
                </c:pt>
                <c:pt idx="17">
                  <c:v>1.95</c:v>
                </c:pt>
                <c:pt idx="18">
                  <c:v>2.62</c:v>
                </c:pt>
                <c:pt idx="19">
                  <c:v>2.12</c:v>
                </c:pt>
                <c:pt idx="20">
                  <c:v>1.75</c:v>
                </c:pt>
                <c:pt idx="21">
                  <c:v>1.88</c:v>
                </c:pt>
                <c:pt idx="22">
                  <c:v>1.6</c:v>
                </c:pt>
                <c:pt idx="23">
                  <c:v>2.34</c:v>
                </c:pt>
                <c:pt idx="24">
                  <c:v>2.4300000000000002</c:v>
                </c:pt>
                <c:pt idx="25">
                  <c:v>2.2400000000000002</c:v>
                </c:pt>
              </c:numCache>
            </c:numRef>
          </c:val>
        </c:ser>
        <c:ser>
          <c:idx val="5"/>
          <c:order val="5"/>
          <c:tx>
            <c:v>other gliomas</c:v>
          </c:tx>
          <c:invertIfNegative val="0"/>
          <c:cat>
            <c:numRef>
              <c:f>Sheet1!$A$36:$A$60</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Sheet1!$O$36:$O$61</c:f>
              <c:numCache>
                <c:formatCode>General</c:formatCode>
                <c:ptCount val="26"/>
                <c:pt idx="0">
                  <c:v>0.55000000000000004</c:v>
                </c:pt>
                <c:pt idx="1">
                  <c:v>1.42</c:v>
                </c:pt>
                <c:pt idx="2">
                  <c:v>0.26</c:v>
                </c:pt>
                <c:pt idx="3">
                  <c:v>0</c:v>
                </c:pt>
                <c:pt idx="4">
                  <c:v>1.05</c:v>
                </c:pt>
                <c:pt idx="5">
                  <c:v>1.2</c:v>
                </c:pt>
                <c:pt idx="6">
                  <c:v>1.42</c:v>
                </c:pt>
                <c:pt idx="7">
                  <c:v>0.42</c:v>
                </c:pt>
                <c:pt idx="8">
                  <c:v>0.73</c:v>
                </c:pt>
                <c:pt idx="9">
                  <c:v>1.05</c:v>
                </c:pt>
                <c:pt idx="10">
                  <c:v>0.45</c:v>
                </c:pt>
                <c:pt idx="11">
                  <c:v>0.75</c:v>
                </c:pt>
                <c:pt idx="12">
                  <c:v>0.63</c:v>
                </c:pt>
                <c:pt idx="13">
                  <c:v>0.47</c:v>
                </c:pt>
                <c:pt idx="14">
                  <c:v>1.17</c:v>
                </c:pt>
                <c:pt idx="15">
                  <c:v>0.41</c:v>
                </c:pt>
                <c:pt idx="16">
                  <c:v>1.26</c:v>
                </c:pt>
                <c:pt idx="17">
                  <c:v>0.9</c:v>
                </c:pt>
                <c:pt idx="18">
                  <c:v>1.02</c:v>
                </c:pt>
                <c:pt idx="19">
                  <c:v>0.56000000000000005</c:v>
                </c:pt>
                <c:pt idx="20">
                  <c:v>1.17</c:v>
                </c:pt>
                <c:pt idx="21">
                  <c:v>1.88</c:v>
                </c:pt>
                <c:pt idx="22">
                  <c:v>0.73</c:v>
                </c:pt>
                <c:pt idx="23">
                  <c:v>0.78</c:v>
                </c:pt>
                <c:pt idx="24">
                  <c:v>1.91</c:v>
                </c:pt>
                <c:pt idx="25">
                  <c:v>1</c:v>
                </c:pt>
              </c:numCache>
            </c:numRef>
          </c:val>
        </c:ser>
        <c:ser>
          <c:idx val="1"/>
          <c:order val="6"/>
          <c:tx>
            <c:v>astrocytomas</c:v>
          </c:tx>
          <c:invertIfNegative val="0"/>
          <c:cat>
            <c:numRef>
              <c:f>Sheet1!$A$36:$A$60</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Sheet1!$E$36:$E$61</c:f>
              <c:numCache>
                <c:formatCode>General</c:formatCode>
                <c:ptCount val="26"/>
                <c:pt idx="0">
                  <c:v>0</c:v>
                </c:pt>
                <c:pt idx="1">
                  <c:v>0</c:v>
                </c:pt>
                <c:pt idx="2">
                  <c:v>0</c:v>
                </c:pt>
                <c:pt idx="3">
                  <c:v>0</c:v>
                </c:pt>
                <c:pt idx="4">
                  <c:v>0</c:v>
                </c:pt>
                <c:pt idx="5">
                  <c:v>0</c:v>
                </c:pt>
                <c:pt idx="6">
                  <c:v>0</c:v>
                </c:pt>
                <c:pt idx="7">
                  <c:v>0</c:v>
                </c:pt>
                <c:pt idx="8">
                  <c:v>0</c:v>
                </c:pt>
                <c:pt idx="9">
                  <c:v>0</c:v>
                </c:pt>
                <c:pt idx="10">
                  <c:v>0</c:v>
                </c:pt>
                <c:pt idx="11">
                  <c:v>0.3</c:v>
                </c:pt>
                <c:pt idx="12">
                  <c:v>0.47</c:v>
                </c:pt>
                <c:pt idx="13">
                  <c:v>0</c:v>
                </c:pt>
                <c:pt idx="14">
                  <c:v>0.26</c:v>
                </c:pt>
                <c:pt idx="15">
                  <c:v>0.27</c:v>
                </c:pt>
                <c:pt idx="16">
                  <c:v>0.14000000000000001</c:v>
                </c:pt>
                <c:pt idx="17">
                  <c:v>0.3</c:v>
                </c:pt>
                <c:pt idx="18">
                  <c:v>0.73</c:v>
                </c:pt>
                <c:pt idx="19">
                  <c:v>0.14000000000000001</c:v>
                </c:pt>
                <c:pt idx="20">
                  <c:v>0.28999999999999998</c:v>
                </c:pt>
                <c:pt idx="21">
                  <c:v>0.31</c:v>
                </c:pt>
                <c:pt idx="22">
                  <c:v>0.15</c:v>
                </c:pt>
                <c:pt idx="23">
                  <c:v>0.16</c:v>
                </c:pt>
                <c:pt idx="24">
                  <c:v>0.35</c:v>
                </c:pt>
                <c:pt idx="25">
                  <c:v>0.25</c:v>
                </c:pt>
              </c:numCache>
            </c:numRef>
          </c:val>
        </c:ser>
        <c:dLbls>
          <c:showLegendKey val="0"/>
          <c:showVal val="0"/>
          <c:showCatName val="0"/>
          <c:showSerName val="0"/>
          <c:showPercent val="0"/>
          <c:showBubbleSize val="0"/>
        </c:dLbls>
        <c:gapWidth val="150"/>
        <c:overlap val="100"/>
        <c:axId val="170249600"/>
        <c:axId val="170431616"/>
      </c:barChart>
      <c:catAx>
        <c:axId val="170249600"/>
        <c:scaling>
          <c:orientation val="minMax"/>
        </c:scaling>
        <c:delete val="0"/>
        <c:axPos val="b"/>
        <c:numFmt formatCode="General" sourceLinked="1"/>
        <c:majorTickMark val="out"/>
        <c:minorTickMark val="none"/>
        <c:tickLblPos val="nextTo"/>
        <c:txPr>
          <a:bodyPr/>
          <a:lstStyle/>
          <a:p>
            <a:pPr>
              <a:defRPr sz="800"/>
            </a:pPr>
            <a:endParaRPr lang="he-IL"/>
          </a:p>
        </c:txPr>
        <c:crossAx val="170431616"/>
        <c:crosses val="autoZero"/>
        <c:auto val="1"/>
        <c:lblAlgn val="ctr"/>
        <c:lblOffset val="100"/>
        <c:noMultiLvlLbl val="0"/>
      </c:catAx>
      <c:valAx>
        <c:axId val="170431616"/>
        <c:scaling>
          <c:orientation val="minMax"/>
        </c:scaling>
        <c:delete val="0"/>
        <c:axPos val="l"/>
        <c:numFmt formatCode="0%" sourceLinked="1"/>
        <c:majorTickMark val="out"/>
        <c:minorTickMark val="none"/>
        <c:tickLblPos val="nextTo"/>
        <c:txPr>
          <a:bodyPr/>
          <a:lstStyle/>
          <a:p>
            <a:pPr>
              <a:defRPr sz="800"/>
            </a:pPr>
            <a:endParaRPr lang="he-IL"/>
          </a:p>
        </c:txPr>
        <c:crossAx val="170249600"/>
        <c:crosses val="autoZero"/>
        <c:crossBetween val="between"/>
      </c:valAx>
    </c:plotArea>
    <c:legend>
      <c:legendPos val="b"/>
      <c:overlay val="0"/>
      <c:txPr>
        <a:bodyPr/>
        <a:lstStyle/>
        <a:p>
          <a:pPr>
            <a:defRPr sz="800"/>
          </a:pPr>
          <a:endParaRPr lang="he-IL"/>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944225721784778E-2"/>
          <c:y val="3.8924274593064405E-2"/>
          <c:w val="0.87959281131525224"/>
          <c:h val="0.82562025655400939"/>
        </c:manualLayout>
      </c:layout>
      <c:lineChart>
        <c:grouping val="standard"/>
        <c:varyColors val="0"/>
        <c:ser>
          <c:idx val="0"/>
          <c:order val="0"/>
          <c:spPr>
            <a:ln>
              <a:noFill/>
            </a:ln>
          </c:spPr>
          <c:marker>
            <c:symbol val="diamond"/>
            <c:size val="7"/>
            <c:spPr>
              <a:solidFill>
                <a:schemeClr val="accent3"/>
              </a:solidFill>
              <a:ln>
                <a:noFill/>
              </a:ln>
            </c:spPr>
          </c:marker>
          <c:cat>
            <c:numRef>
              <c:f>'Z:\agudah l''milchamah b''sartan\[malignant brain joinpoint.xlsx]Data'!$C$2:$C$26</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Data!$D$2:$D$26</c:f>
              <c:numCache>
                <c:formatCode>General</c:formatCode>
                <c:ptCount val="25"/>
                <c:pt idx="0">
                  <c:v>6.6</c:v>
                </c:pt>
                <c:pt idx="1">
                  <c:v>6.28</c:v>
                </c:pt>
                <c:pt idx="2">
                  <c:v>7.04</c:v>
                </c:pt>
                <c:pt idx="3">
                  <c:v>6.11</c:v>
                </c:pt>
                <c:pt idx="4">
                  <c:v>7.33</c:v>
                </c:pt>
                <c:pt idx="5">
                  <c:v>6.64</c:v>
                </c:pt>
                <c:pt idx="6">
                  <c:v>7.96</c:v>
                </c:pt>
                <c:pt idx="7">
                  <c:v>5.86</c:v>
                </c:pt>
                <c:pt idx="8">
                  <c:v>6.5</c:v>
                </c:pt>
                <c:pt idx="9">
                  <c:v>6.19</c:v>
                </c:pt>
                <c:pt idx="10">
                  <c:v>8.33</c:v>
                </c:pt>
                <c:pt idx="11">
                  <c:v>6.77</c:v>
                </c:pt>
                <c:pt idx="12">
                  <c:v>6.55</c:v>
                </c:pt>
                <c:pt idx="13">
                  <c:v>6.37</c:v>
                </c:pt>
                <c:pt idx="14">
                  <c:v>7.05</c:v>
                </c:pt>
                <c:pt idx="15">
                  <c:v>7.23</c:v>
                </c:pt>
                <c:pt idx="16">
                  <c:v>6.97</c:v>
                </c:pt>
                <c:pt idx="17">
                  <c:v>6.39</c:v>
                </c:pt>
                <c:pt idx="18">
                  <c:v>5.94</c:v>
                </c:pt>
                <c:pt idx="19">
                  <c:v>5.46</c:v>
                </c:pt>
                <c:pt idx="20">
                  <c:v>5.75</c:v>
                </c:pt>
                <c:pt idx="21">
                  <c:v>5.38</c:v>
                </c:pt>
                <c:pt idx="22">
                  <c:v>5.46</c:v>
                </c:pt>
                <c:pt idx="23">
                  <c:v>5.45</c:v>
                </c:pt>
                <c:pt idx="24">
                  <c:v>4.4000000000000004</c:v>
                </c:pt>
              </c:numCache>
            </c:numRef>
          </c:val>
          <c:smooth val="0"/>
        </c:ser>
        <c:ser>
          <c:idx val="1"/>
          <c:order val="1"/>
          <c:tx>
            <c:v>גברים יהודים</c:v>
          </c:tx>
          <c:spPr>
            <a:ln>
              <a:solidFill>
                <a:schemeClr val="accent3"/>
              </a:solidFill>
            </a:ln>
          </c:spPr>
          <c:marker>
            <c:symbol val="none"/>
          </c:marker>
          <c:cat>
            <c:numRef>
              <c:f>'Z:\agudah l''milchamah b''sartan\[malignant brain joinpoint.xlsx]Data'!$C$2:$C$26</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Data!$E$2:$E$26</c:f>
              <c:numCache>
                <c:formatCode>General</c:formatCode>
                <c:ptCount val="25"/>
                <c:pt idx="0">
                  <c:v>6.66</c:v>
                </c:pt>
                <c:pt idx="1">
                  <c:v>6.68</c:v>
                </c:pt>
                <c:pt idx="2">
                  <c:v>6.7</c:v>
                </c:pt>
                <c:pt idx="3">
                  <c:v>6.73</c:v>
                </c:pt>
                <c:pt idx="4">
                  <c:v>6.75</c:v>
                </c:pt>
                <c:pt idx="5">
                  <c:v>6.77</c:v>
                </c:pt>
                <c:pt idx="6">
                  <c:v>6.79</c:v>
                </c:pt>
                <c:pt idx="7">
                  <c:v>6.81</c:v>
                </c:pt>
                <c:pt idx="8">
                  <c:v>6.83</c:v>
                </c:pt>
                <c:pt idx="9">
                  <c:v>6.85</c:v>
                </c:pt>
                <c:pt idx="10">
                  <c:v>6.87</c:v>
                </c:pt>
                <c:pt idx="11">
                  <c:v>6.9</c:v>
                </c:pt>
                <c:pt idx="12">
                  <c:v>6.92</c:v>
                </c:pt>
                <c:pt idx="13">
                  <c:v>6.94</c:v>
                </c:pt>
                <c:pt idx="14">
                  <c:v>6.96</c:v>
                </c:pt>
                <c:pt idx="15">
                  <c:v>6.98</c:v>
                </c:pt>
                <c:pt idx="16">
                  <c:v>6.7</c:v>
                </c:pt>
                <c:pt idx="17">
                  <c:v>6.42</c:v>
                </c:pt>
                <c:pt idx="18">
                  <c:v>6.16</c:v>
                </c:pt>
                <c:pt idx="19">
                  <c:v>5.91</c:v>
                </c:pt>
                <c:pt idx="20">
                  <c:v>5.67</c:v>
                </c:pt>
                <c:pt idx="21">
                  <c:v>5.44</c:v>
                </c:pt>
                <c:pt idx="22">
                  <c:v>5.22</c:v>
                </c:pt>
                <c:pt idx="23">
                  <c:v>5</c:v>
                </c:pt>
                <c:pt idx="24">
                  <c:v>4.8</c:v>
                </c:pt>
              </c:numCache>
            </c:numRef>
          </c:val>
          <c:smooth val="0"/>
        </c:ser>
        <c:ser>
          <c:idx val="2"/>
          <c:order val="2"/>
          <c:spPr>
            <a:ln w="28575">
              <a:noFill/>
            </a:ln>
          </c:spPr>
          <c:marker>
            <c:symbol val="triangle"/>
            <c:size val="7"/>
            <c:spPr>
              <a:solidFill>
                <a:schemeClr val="accent4"/>
              </a:solidFill>
              <a:ln>
                <a:noFill/>
              </a:ln>
            </c:spPr>
          </c:marker>
          <c:val>
            <c:numRef>
              <c:f>Data!$D$27:$D$51</c:f>
              <c:numCache>
                <c:formatCode>General</c:formatCode>
                <c:ptCount val="25"/>
                <c:pt idx="0">
                  <c:v>9.7100000000000009</c:v>
                </c:pt>
                <c:pt idx="1">
                  <c:v>8.74</c:v>
                </c:pt>
                <c:pt idx="2">
                  <c:v>8.15</c:v>
                </c:pt>
                <c:pt idx="3">
                  <c:v>9.01</c:v>
                </c:pt>
                <c:pt idx="4">
                  <c:v>9.98</c:v>
                </c:pt>
                <c:pt idx="5">
                  <c:v>10.58</c:v>
                </c:pt>
                <c:pt idx="6">
                  <c:v>8.82</c:v>
                </c:pt>
                <c:pt idx="7">
                  <c:v>9.07</c:v>
                </c:pt>
                <c:pt idx="8">
                  <c:v>10.46</c:v>
                </c:pt>
                <c:pt idx="9">
                  <c:v>10.16</c:v>
                </c:pt>
                <c:pt idx="10">
                  <c:v>12.06</c:v>
                </c:pt>
                <c:pt idx="11">
                  <c:v>11.45</c:v>
                </c:pt>
                <c:pt idx="12">
                  <c:v>10.72</c:v>
                </c:pt>
                <c:pt idx="13">
                  <c:v>9.66</c:v>
                </c:pt>
                <c:pt idx="14">
                  <c:v>12.19</c:v>
                </c:pt>
                <c:pt idx="15">
                  <c:v>11.13</c:v>
                </c:pt>
                <c:pt idx="16">
                  <c:v>10.49</c:v>
                </c:pt>
                <c:pt idx="17">
                  <c:v>9.58</c:v>
                </c:pt>
                <c:pt idx="18">
                  <c:v>10.55</c:v>
                </c:pt>
                <c:pt idx="19">
                  <c:v>10</c:v>
                </c:pt>
                <c:pt idx="20">
                  <c:v>9.57</c:v>
                </c:pt>
                <c:pt idx="21">
                  <c:v>8.74</c:v>
                </c:pt>
                <c:pt idx="22">
                  <c:v>8.8800000000000008</c:v>
                </c:pt>
                <c:pt idx="23">
                  <c:v>8.5</c:v>
                </c:pt>
                <c:pt idx="24">
                  <c:v>7.37</c:v>
                </c:pt>
              </c:numCache>
            </c:numRef>
          </c:val>
          <c:smooth val="0"/>
        </c:ser>
        <c:ser>
          <c:idx val="3"/>
          <c:order val="3"/>
          <c:tx>
            <c:v>נשים יהודיות</c:v>
          </c:tx>
          <c:spPr>
            <a:ln w="28575">
              <a:solidFill>
                <a:schemeClr val="accent4"/>
              </a:solidFill>
            </a:ln>
          </c:spPr>
          <c:marker>
            <c:symbol val="none"/>
          </c:marker>
          <c:val>
            <c:numRef>
              <c:f>Data!$E$27:$E$51</c:f>
              <c:numCache>
                <c:formatCode>General</c:formatCode>
                <c:ptCount val="25"/>
                <c:pt idx="0">
                  <c:v>8.7799999999999994</c:v>
                </c:pt>
                <c:pt idx="1">
                  <c:v>8.9499999999999993</c:v>
                </c:pt>
                <c:pt idx="2">
                  <c:v>9.1199999999999992</c:v>
                </c:pt>
                <c:pt idx="3">
                  <c:v>9.3000000000000007</c:v>
                </c:pt>
                <c:pt idx="4">
                  <c:v>9.48</c:v>
                </c:pt>
                <c:pt idx="5">
                  <c:v>9.67</c:v>
                </c:pt>
                <c:pt idx="6">
                  <c:v>9.86</c:v>
                </c:pt>
                <c:pt idx="7">
                  <c:v>10.050000000000001</c:v>
                </c:pt>
                <c:pt idx="8">
                  <c:v>10.24</c:v>
                </c:pt>
                <c:pt idx="9">
                  <c:v>10.44</c:v>
                </c:pt>
                <c:pt idx="10">
                  <c:v>10.65</c:v>
                </c:pt>
                <c:pt idx="11">
                  <c:v>10.85</c:v>
                </c:pt>
                <c:pt idx="12">
                  <c:v>11.07</c:v>
                </c:pt>
                <c:pt idx="13">
                  <c:v>11.28</c:v>
                </c:pt>
                <c:pt idx="14">
                  <c:v>11.5</c:v>
                </c:pt>
                <c:pt idx="15">
                  <c:v>11.09</c:v>
                </c:pt>
                <c:pt idx="16">
                  <c:v>10.7</c:v>
                </c:pt>
                <c:pt idx="17">
                  <c:v>10.32</c:v>
                </c:pt>
                <c:pt idx="18">
                  <c:v>9.9499999999999993</c:v>
                </c:pt>
                <c:pt idx="19">
                  <c:v>9.6</c:v>
                </c:pt>
                <c:pt idx="20">
                  <c:v>9.26</c:v>
                </c:pt>
                <c:pt idx="21">
                  <c:v>8.93</c:v>
                </c:pt>
                <c:pt idx="22">
                  <c:v>8.61</c:v>
                </c:pt>
                <c:pt idx="23">
                  <c:v>8.31</c:v>
                </c:pt>
                <c:pt idx="24">
                  <c:v>8.01</c:v>
                </c:pt>
              </c:numCache>
            </c:numRef>
          </c:val>
          <c:smooth val="0"/>
        </c:ser>
        <c:dLbls>
          <c:showLegendKey val="0"/>
          <c:showVal val="0"/>
          <c:showCatName val="0"/>
          <c:showSerName val="0"/>
          <c:showPercent val="0"/>
          <c:showBubbleSize val="0"/>
        </c:dLbls>
        <c:marker val="1"/>
        <c:smooth val="0"/>
        <c:axId val="170667008"/>
        <c:axId val="170742912"/>
      </c:lineChart>
      <c:catAx>
        <c:axId val="170667008"/>
        <c:scaling>
          <c:orientation val="minMax"/>
        </c:scaling>
        <c:delete val="0"/>
        <c:axPos val="b"/>
        <c:title>
          <c:tx>
            <c:rich>
              <a:bodyPr/>
              <a:lstStyle/>
              <a:p>
                <a:pPr>
                  <a:defRPr sz="800"/>
                </a:pPr>
                <a:r>
                  <a:rPr lang="he-IL" sz="800"/>
                  <a:t>שנת אבחנה</a:t>
                </a:r>
              </a:p>
            </c:rich>
          </c:tx>
          <c:overlay val="0"/>
        </c:title>
        <c:numFmt formatCode="General" sourceLinked="1"/>
        <c:majorTickMark val="out"/>
        <c:minorTickMark val="none"/>
        <c:tickLblPos val="nextTo"/>
        <c:txPr>
          <a:bodyPr/>
          <a:lstStyle/>
          <a:p>
            <a:pPr>
              <a:defRPr sz="800"/>
            </a:pPr>
            <a:endParaRPr lang="he-IL"/>
          </a:p>
        </c:txPr>
        <c:crossAx val="170742912"/>
        <c:crosses val="autoZero"/>
        <c:auto val="1"/>
        <c:lblAlgn val="ctr"/>
        <c:lblOffset val="100"/>
        <c:noMultiLvlLbl val="0"/>
      </c:catAx>
      <c:valAx>
        <c:axId val="170742912"/>
        <c:scaling>
          <c:orientation val="minMax"/>
        </c:scaling>
        <c:delete val="0"/>
        <c:axPos val="l"/>
        <c:title>
          <c:tx>
            <c:rich>
              <a:bodyPr rot="-5400000" vert="horz"/>
              <a:lstStyle/>
              <a:p>
                <a:pPr>
                  <a:defRPr sz="800"/>
                </a:pPr>
                <a:r>
                  <a:rPr lang="he-IL" sz="800"/>
                  <a:t>היארעות  ל-100,000 מתוקנן לגיל </a:t>
                </a:r>
              </a:p>
            </c:rich>
          </c:tx>
          <c:overlay val="0"/>
        </c:title>
        <c:numFmt formatCode="General" sourceLinked="1"/>
        <c:majorTickMark val="out"/>
        <c:minorTickMark val="none"/>
        <c:tickLblPos val="nextTo"/>
        <c:txPr>
          <a:bodyPr/>
          <a:lstStyle/>
          <a:p>
            <a:pPr>
              <a:defRPr sz="800"/>
            </a:pPr>
            <a:endParaRPr lang="he-IL"/>
          </a:p>
        </c:txPr>
        <c:crossAx val="170667008"/>
        <c:crosses val="autoZero"/>
        <c:crossBetween val="between"/>
      </c:valAx>
    </c:plotArea>
    <c:legend>
      <c:legendPos val="b"/>
      <c:legendEntry>
        <c:idx val="0"/>
        <c:delete val="1"/>
      </c:legendEntry>
      <c:legendEntry>
        <c:idx val="2"/>
        <c:delete val="1"/>
      </c:legendEntry>
      <c:layout>
        <c:manualLayout>
          <c:xMode val="edge"/>
          <c:yMode val="edge"/>
          <c:x val="0.60876417043614239"/>
          <c:y val="0.78006025108930355"/>
          <c:w val="0.35408300524934383"/>
          <c:h val="5.5439925104903288E-2"/>
        </c:manualLayout>
      </c:layout>
      <c:overlay val="0"/>
      <c:txPr>
        <a:bodyPr/>
        <a:lstStyle/>
        <a:p>
          <a:pPr>
            <a:defRPr sz="800"/>
          </a:pPr>
          <a:endParaRPr lang="he-IL"/>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944225721784778E-2"/>
          <c:y val="3.8924274593064405E-2"/>
          <c:w val="0.87959281131525224"/>
          <c:h val="0.80082394057809725"/>
        </c:manualLayout>
      </c:layout>
      <c:lineChart>
        <c:grouping val="standard"/>
        <c:varyColors val="0"/>
        <c:ser>
          <c:idx val="0"/>
          <c:order val="0"/>
          <c:spPr>
            <a:ln>
              <a:noFill/>
            </a:ln>
          </c:spPr>
          <c:marker>
            <c:symbol val="diamond"/>
            <c:size val="7"/>
            <c:spPr>
              <a:solidFill>
                <a:schemeClr val="accent6"/>
              </a:solidFill>
              <a:ln>
                <a:noFill/>
              </a:ln>
            </c:spPr>
          </c:marker>
          <c:cat>
            <c:numRef>
              <c:f>'Z:\agudah l''milchamah b''sartan\[malignant brain joinpoint.xlsx]Data'!$C$2:$C$26</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Data!$D$52:$D$76</c:f>
              <c:numCache>
                <c:formatCode>General</c:formatCode>
                <c:ptCount val="25"/>
                <c:pt idx="0">
                  <c:v>3.36</c:v>
                </c:pt>
                <c:pt idx="1">
                  <c:v>2.66</c:v>
                </c:pt>
                <c:pt idx="2">
                  <c:v>3.52</c:v>
                </c:pt>
                <c:pt idx="3">
                  <c:v>2.62</c:v>
                </c:pt>
                <c:pt idx="4">
                  <c:v>5.5</c:v>
                </c:pt>
                <c:pt idx="5">
                  <c:v>3.89</c:v>
                </c:pt>
                <c:pt idx="6">
                  <c:v>1.56</c:v>
                </c:pt>
                <c:pt idx="7">
                  <c:v>1.69</c:v>
                </c:pt>
                <c:pt idx="8">
                  <c:v>3.37</c:v>
                </c:pt>
                <c:pt idx="9">
                  <c:v>4.8099999999999996</c:v>
                </c:pt>
                <c:pt idx="10">
                  <c:v>2.59</c:v>
                </c:pt>
                <c:pt idx="11">
                  <c:v>5.25</c:v>
                </c:pt>
                <c:pt idx="12">
                  <c:v>4.5999999999999996</c:v>
                </c:pt>
                <c:pt idx="13">
                  <c:v>5.15</c:v>
                </c:pt>
                <c:pt idx="14">
                  <c:v>6.41</c:v>
                </c:pt>
                <c:pt idx="15">
                  <c:v>6.21</c:v>
                </c:pt>
                <c:pt idx="16">
                  <c:v>6.23</c:v>
                </c:pt>
                <c:pt idx="17">
                  <c:v>4.5999999999999996</c:v>
                </c:pt>
                <c:pt idx="18">
                  <c:v>6.27</c:v>
                </c:pt>
                <c:pt idx="19">
                  <c:v>6.68</c:v>
                </c:pt>
                <c:pt idx="20">
                  <c:v>4.6900000000000004</c:v>
                </c:pt>
                <c:pt idx="21">
                  <c:v>4.76</c:v>
                </c:pt>
                <c:pt idx="22">
                  <c:v>3.91</c:v>
                </c:pt>
                <c:pt idx="23">
                  <c:v>4.6399999999999997</c:v>
                </c:pt>
                <c:pt idx="24">
                  <c:v>4.28</c:v>
                </c:pt>
              </c:numCache>
            </c:numRef>
          </c:val>
          <c:smooth val="0"/>
        </c:ser>
        <c:ser>
          <c:idx val="1"/>
          <c:order val="1"/>
          <c:tx>
            <c:v>גברים ערבים</c:v>
          </c:tx>
          <c:spPr>
            <a:ln>
              <a:solidFill>
                <a:schemeClr val="accent6"/>
              </a:solidFill>
            </a:ln>
          </c:spPr>
          <c:marker>
            <c:symbol val="none"/>
          </c:marker>
          <c:cat>
            <c:numRef>
              <c:f>'Z:\agudah l''milchamah b''sartan\[malignant brain joinpoint.xlsx]Data'!$C$2:$C$26</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Data!$E$52:$E$76</c:f>
              <c:numCache>
                <c:formatCode>General</c:formatCode>
                <c:ptCount val="25"/>
                <c:pt idx="0">
                  <c:v>2.82</c:v>
                </c:pt>
                <c:pt idx="1">
                  <c:v>2.95</c:v>
                </c:pt>
                <c:pt idx="2">
                  <c:v>3.08</c:v>
                </c:pt>
                <c:pt idx="3">
                  <c:v>3.22</c:v>
                </c:pt>
                <c:pt idx="4">
                  <c:v>3.37</c:v>
                </c:pt>
                <c:pt idx="5">
                  <c:v>3.52</c:v>
                </c:pt>
                <c:pt idx="6">
                  <c:v>3.68</c:v>
                </c:pt>
                <c:pt idx="7">
                  <c:v>3.85</c:v>
                </c:pt>
                <c:pt idx="8">
                  <c:v>4.03</c:v>
                </c:pt>
                <c:pt idx="9">
                  <c:v>4.21</c:v>
                </c:pt>
                <c:pt idx="10">
                  <c:v>4.4000000000000004</c:v>
                </c:pt>
                <c:pt idx="11">
                  <c:v>4.5999999999999996</c:v>
                </c:pt>
                <c:pt idx="12">
                  <c:v>4.8099999999999996</c:v>
                </c:pt>
                <c:pt idx="13">
                  <c:v>5.03</c:v>
                </c:pt>
                <c:pt idx="14">
                  <c:v>5.26</c:v>
                </c:pt>
                <c:pt idx="15">
                  <c:v>5.5</c:v>
                </c:pt>
                <c:pt idx="16">
                  <c:v>5.75</c:v>
                </c:pt>
                <c:pt idx="17">
                  <c:v>6.01</c:v>
                </c:pt>
                <c:pt idx="18">
                  <c:v>6.29</c:v>
                </c:pt>
                <c:pt idx="19">
                  <c:v>5.83</c:v>
                </c:pt>
                <c:pt idx="20">
                  <c:v>5.41</c:v>
                </c:pt>
                <c:pt idx="21">
                  <c:v>5.0199999999999996</c:v>
                </c:pt>
                <c:pt idx="22">
                  <c:v>4.6500000000000004</c:v>
                </c:pt>
                <c:pt idx="23">
                  <c:v>4.32</c:v>
                </c:pt>
                <c:pt idx="24">
                  <c:v>4</c:v>
                </c:pt>
              </c:numCache>
            </c:numRef>
          </c:val>
          <c:smooth val="0"/>
        </c:ser>
        <c:ser>
          <c:idx val="2"/>
          <c:order val="2"/>
          <c:spPr>
            <a:ln w="28575">
              <a:noFill/>
            </a:ln>
          </c:spPr>
          <c:marker>
            <c:symbol val="triangle"/>
            <c:size val="7"/>
            <c:spPr>
              <a:solidFill>
                <a:schemeClr val="accent5"/>
              </a:solidFill>
              <a:ln>
                <a:noFill/>
              </a:ln>
            </c:spPr>
          </c:marker>
          <c:val>
            <c:numRef>
              <c:f>Data!$D$77:$D$101</c:f>
              <c:numCache>
                <c:formatCode>General</c:formatCode>
                <c:ptCount val="25"/>
                <c:pt idx="0">
                  <c:v>3.35</c:v>
                </c:pt>
                <c:pt idx="1">
                  <c:v>5.34</c:v>
                </c:pt>
                <c:pt idx="2">
                  <c:v>3.3</c:v>
                </c:pt>
                <c:pt idx="3">
                  <c:v>2.75</c:v>
                </c:pt>
                <c:pt idx="4">
                  <c:v>4.66</c:v>
                </c:pt>
                <c:pt idx="5">
                  <c:v>4.0199999999999996</c:v>
                </c:pt>
                <c:pt idx="6">
                  <c:v>5.16</c:v>
                </c:pt>
                <c:pt idx="7">
                  <c:v>5.47</c:v>
                </c:pt>
                <c:pt idx="8">
                  <c:v>5.87</c:v>
                </c:pt>
                <c:pt idx="9">
                  <c:v>5.41</c:v>
                </c:pt>
                <c:pt idx="10">
                  <c:v>3.63</c:v>
                </c:pt>
                <c:pt idx="11">
                  <c:v>7.23</c:v>
                </c:pt>
                <c:pt idx="12">
                  <c:v>6.35</c:v>
                </c:pt>
                <c:pt idx="13">
                  <c:v>7.92</c:v>
                </c:pt>
                <c:pt idx="14">
                  <c:v>7.68</c:v>
                </c:pt>
                <c:pt idx="15">
                  <c:v>8.9600000000000009</c:v>
                </c:pt>
                <c:pt idx="16">
                  <c:v>7.82</c:v>
                </c:pt>
                <c:pt idx="17">
                  <c:v>9.16</c:v>
                </c:pt>
                <c:pt idx="18">
                  <c:v>6.63</c:v>
                </c:pt>
                <c:pt idx="19">
                  <c:v>7.89</c:v>
                </c:pt>
                <c:pt idx="20">
                  <c:v>5.93</c:v>
                </c:pt>
                <c:pt idx="21">
                  <c:v>6.54</c:v>
                </c:pt>
                <c:pt idx="22">
                  <c:v>9.1</c:v>
                </c:pt>
                <c:pt idx="23">
                  <c:v>6.07</c:v>
                </c:pt>
                <c:pt idx="24">
                  <c:v>6.62</c:v>
                </c:pt>
              </c:numCache>
            </c:numRef>
          </c:val>
          <c:smooth val="0"/>
        </c:ser>
        <c:ser>
          <c:idx val="3"/>
          <c:order val="3"/>
          <c:tx>
            <c:v>נשים ערביות</c:v>
          </c:tx>
          <c:spPr>
            <a:ln w="28575">
              <a:solidFill>
                <a:schemeClr val="accent5"/>
              </a:solidFill>
            </a:ln>
          </c:spPr>
          <c:marker>
            <c:symbol val="none"/>
          </c:marker>
          <c:val>
            <c:numRef>
              <c:f>Data!$E$77:$E$101</c:f>
              <c:numCache>
                <c:formatCode>General</c:formatCode>
                <c:ptCount val="25"/>
                <c:pt idx="0">
                  <c:v>3.46</c:v>
                </c:pt>
                <c:pt idx="1">
                  <c:v>3.67</c:v>
                </c:pt>
                <c:pt idx="2">
                  <c:v>3.89</c:v>
                </c:pt>
                <c:pt idx="3">
                  <c:v>4.12</c:v>
                </c:pt>
                <c:pt idx="4">
                  <c:v>4.37</c:v>
                </c:pt>
                <c:pt idx="5">
                  <c:v>4.63</c:v>
                </c:pt>
                <c:pt idx="6">
                  <c:v>4.9000000000000004</c:v>
                </c:pt>
                <c:pt idx="7">
                  <c:v>5.2</c:v>
                </c:pt>
                <c:pt idx="8">
                  <c:v>5.51</c:v>
                </c:pt>
                <c:pt idx="9">
                  <c:v>5.83</c:v>
                </c:pt>
                <c:pt idx="10">
                  <c:v>6.18</c:v>
                </c:pt>
                <c:pt idx="11">
                  <c:v>6.55</c:v>
                </c:pt>
                <c:pt idx="12">
                  <c:v>6.94</c:v>
                </c:pt>
                <c:pt idx="13">
                  <c:v>7.36</c:v>
                </c:pt>
                <c:pt idx="14">
                  <c:v>7.8</c:v>
                </c:pt>
                <c:pt idx="15">
                  <c:v>8.26</c:v>
                </c:pt>
                <c:pt idx="16">
                  <c:v>8.08</c:v>
                </c:pt>
                <c:pt idx="17">
                  <c:v>7.9</c:v>
                </c:pt>
                <c:pt idx="18">
                  <c:v>7.72</c:v>
                </c:pt>
                <c:pt idx="19">
                  <c:v>7.55</c:v>
                </c:pt>
                <c:pt idx="20">
                  <c:v>7.38</c:v>
                </c:pt>
                <c:pt idx="21">
                  <c:v>7.21</c:v>
                </c:pt>
                <c:pt idx="22">
                  <c:v>7.05</c:v>
                </c:pt>
                <c:pt idx="23">
                  <c:v>6.89</c:v>
                </c:pt>
                <c:pt idx="24">
                  <c:v>6.74</c:v>
                </c:pt>
              </c:numCache>
            </c:numRef>
          </c:val>
          <c:smooth val="0"/>
        </c:ser>
        <c:dLbls>
          <c:showLegendKey val="0"/>
          <c:showVal val="0"/>
          <c:showCatName val="0"/>
          <c:showSerName val="0"/>
          <c:showPercent val="0"/>
          <c:showBubbleSize val="0"/>
        </c:dLbls>
        <c:marker val="1"/>
        <c:smooth val="0"/>
        <c:axId val="170787200"/>
        <c:axId val="170789120"/>
      </c:lineChart>
      <c:catAx>
        <c:axId val="170787200"/>
        <c:scaling>
          <c:orientation val="minMax"/>
        </c:scaling>
        <c:delete val="0"/>
        <c:axPos val="b"/>
        <c:title>
          <c:tx>
            <c:rich>
              <a:bodyPr/>
              <a:lstStyle/>
              <a:p>
                <a:pPr>
                  <a:defRPr sz="800"/>
                </a:pPr>
                <a:r>
                  <a:rPr lang="he-IL" sz="800"/>
                  <a:t>שנת אבחנה</a:t>
                </a:r>
              </a:p>
            </c:rich>
          </c:tx>
          <c:overlay val="0"/>
        </c:title>
        <c:numFmt formatCode="General" sourceLinked="1"/>
        <c:majorTickMark val="out"/>
        <c:minorTickMark val="none"/>
        <c:tickLblPos val="nextTo"/>
        <c:txPr>
          <a:bodyPr/>
          <a:lstStyle/>
          <a:p>
            <a:pPr>
              <a:defRPr sz="800"/>
            </a:pPr>
            <a:endParaRPr lang="he-IL"/>
          </a:p>
        </c:txPr>
        <c:crossAx val="170789120"/>
        <c:crosses val="autoZero"/>
        <c:auto val="1"/>
        <c:lblAlgn val="ctr"/>
        <c:lblOffset val="100"/>
        <c:noMultiLvlLbl val="0"/>
      </c:catAx>
      <c:valAx>
        <c:axId val="170789120"/>
        <c:scaling>
          <c:orientation val="minMax"/>
        </c:scaling>
        <c:delete val="0"/>
        <c:axPos val="l"/>
        <c:title>
          <c:tx>
            <c:rich>
              <a:bodyPr rot="-5400000" vert="horz"/>
              <a:lstStyle/>
              <a:p>
                <a:pPr>
                  <a:defRPr sz="800"/>
                </a:pPr>
                <a:r>
                  <a:rPr lang="he-IL" sz="800"/>
                  <a:t>היארעות ל-100,000 מתוקנן לגיל </a:t>
                </a:r>
              </a:p>
            </c:rich>
          </c:tx>
          <c:overlay val="0"/>
        </c:title>
        <c:numFmt formatCode="General" sourceLinked="1"/>
        <c:majorTickMark val="out"/>
        <c:minorTickMark val="none"/>
        <c:tickLblPos val="nextTo"/>
        <c:txPr>
          <a:bodyPr/>
          <a:lstStyle/>
          <a:p>
            <a:pPr>
              <a:defRPr sz="800"/>
            </a:pPr>
            <a:endParaRPr lang="he-IL"/>
          </a:p>
        </c:txPr>
        <c:crossAx val="170787200"/>
        <c:crosses val="autoZero"/>
        <c:crossBetween val="between"/>
      </c:valAx>
    </c:plotArea>
    <c:legend>
      <c:legendPos val="b"/>
      <c:legendEntry>
        <c:idx val="0"/>
        <c:delete val="1"/>
      </c:legendEntry>
      <c:legendEntry>
        <c:idx val="2"/>
        <c:delete val="1"/>
      </c:legendEntry>
      <c:layout>
        <c:manualLayout>
          <c:xMode val="edge"/>
          <c:yMode val="edge"/>
          <c:x val="0.61745370370370367"/>
          <c:y val="0.75144301170642724"/>
          <c:w val="0.35305555555555557"/>
          <c:h val="5.5439925104903288E-2"/>
        </c:manualLayout>
      </c:layout>
      <c:overlay val="0"/>
      <c:txPr>
        <a:bodyPr/>
        <a:lstStyle/>
        <a:p>
          <a:pPr>
            <a:defRPr sz="800"/>
          </a:pPr>
          <a:endParaRPr lang="he-IL"/>
        </a:p>
      </c:txPr>
    </c:legend>
    <c:plotVisOnly val="1"/>
    <c:dispBlanksAs val="gap"/>
    <c:showDLblsOverMax val="0"/>
  </c:chart>
  <c:externalData r:id="rId1">
    <c:autoUpdate val="0"/>
  </c:externalData>
</c:chartSpac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B719C-BC0E-41F3-B7ED-6C618AC6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2429</Words>
  <Characters>12145</Characters>
  <Application>Microsoft Office Word</Application>
  <DocSecurity>0</DocSecurity>
  <Lines>101</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Health.gov.il</Company>
  <LinksUpToDate>false</LinksUpToDate>
  <CharactersWithSpaces>14545</CharactersWithSpaces>
  <SharedDoc>false</SharedDoc>
  <HLinks>
    <vt:vector size="6" baseType="variant">
      <vt:variant>
        <vt:i4>2818070</vt:i4>
      </vt:variant>
      <vt:variant>
        <vt:i4>99154</vt:i4>
      </vt:variant>
      <vt:variant>
        <vt:i4>1047</vt:i4>
      </vt:variant>
      <vt:variant>
        <vt:i4>1</vt:i4>
      </vt:variant>
      <vt:variant>
        <vt:lpwstr>cid:image006.jpg@01CFDB0A.00866F80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Lital Keinan</dc:creator>
  <cp:lastModifiedBy>Hana Yadid</cp:lastModifiedBy>
  <cp:revision>2</cp:revision>
  <cp:lastPrinted>2018-01-28T06:29:00Z</cp:lastPrinted>
  <dcterms:created xsi:type="dcterms:W3CDTF">2018-01-28T06:29:00Z</dcterms:created>
  <dcterms:modified xsi:type="dcterms:W3CDTF">2018-01-28T06:29:00Z</dcterms:modified>
</cp:coreProperties>
</file>