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A6" w:rsidRPr="007F407F" w:rsidRDefault="00390F3B" w:rsidP="00390F3B">
      <w:pPr>
        <w:spacing w:before="120" w:after="120" w:line="360" w:lineRule="auto"/>
        <w:jc w:val="both"/>
        <w:rPr>
          <w:rFonts w:ascii="Gisha" w:hAnsi="Gisha" w:cs="Gisha"/>
          <w:sz w:val="32"/>
          <w:szCs w:val="32"/>
          <w:highlight w:val="yellow"/>
          <w:rtl/>
        </w:rPr>
      </w:pPr>
      <w:bookmarkStart w:id="0" w:name="_GoBack"/>
      <w:bookmarkEnd w:id="0"/>
      <w:r w:rsidRPr="007F407F">
        <w:rPr>
          <w:rFonts w:ascii="Gisha" w:hAnsi="Gisha" w:cs="Gisha" w:hint="cs"/>
          <w:b/>
          <w:bCs/>
          <w:sz w:val="32"/>
          <w:szCs w:val="32"/>
          <w:rtl/>
        </w:rPr>
        <w:t>פרק 1.</w:t>
      </w:r>
      <w:r w:rsidR="008364A6" w:rsidRPr="007F407F">
        <w:rPr>
          <w:rFonts w:ascii="Gisha" w:hAnsi="Gisha" w:cs="Gisha"/>
          <w:b/>
          <w:bCs/>
          <w:sz w:val="32"/>
          <w:szCs w:val="32"/>
          <w:rtl/>
        </w:rPr>
        <w:t xml:space="preserve"> מגמות </w:t>
      </w:r>
      <w:r w:rsidRPr="007F407F">
        <w:rPr>
          <w:rFonts w:ascii="Gisha" w:hAnsi="Gisha" w:cs="Gisha" w:hint="cs"/>
          <w:b/>
          <w:bCs/>
          <w:sz w:val="32"/>
          <w:szCs w:val="32"/>
          <w:rtl/>
        </w:rPr>
        <w:t>עיקריות ב</w:t>
      </w:r>
      <w:r w:rsidR="00661D76" w:rsidRPr="007F407F">
        <w:rPr>
          <w:rFonts w:ascii="Gisha" w:hAnsi="Gisha" w:cs="Gisha" w:hint="cs"/>
          <w:b/>
          <w:bCs/>
          <w:sz w:val="32"/>
          <w:szCs w:val="32"/>
          <w:rtl/>
        </w:rPr>
        <w:t>תחום אי-שוויון ב</w:t>
      </w:r>
      <w:r w:rsidRPr="007F407F">
        <w:rPr>
          <w:rFonts w:ascii="Gisha" w:hAnsi="Gisha" w:cs="Gisha" w:hint="cs"/>
          <w:b/>
          <w:bCs/>
          <w:sz w:val="32"/>
          <w:szCs w:val="32"/>
          <w:rtl/>
        </w:rPr>
        <w:t>מדדי בריאות</w:t>
      </w:r>
    </w:p>
    <w:p w:rsidR="008364A6" w:rsidRPr="007F407F" w:rsidRDefault="008364A6" w:rsidP="008364A6">
      <w:pPr>
        <w:spacing w:before="120" w:after="0"/>
        <w:rPr>
          <w:rFonts w:ascii="Gisha" w:hAnsi="Gisha" w:cs="Gisha"/>
          <w:b/>
          <w:bCs/>
          <w:sz w:val="28"/>
          <w:szCs w:val="28"/>
          <w:rtl/>
        </w:rPr>
      </w:pPr>
      <w:r w:rsidRPr="007F407F">
        <w:rPr>
          <w:rFonts w:ascii="Gisha" w:hAnsi="Gisha" w:cs="Gisha"/>
          <w:b/>
          <w:bCs/>
          <w:sz w:val="28"/>
          <w:szCs w:val="28"/>
          <w:rtl/>
        </w:rPr>
        <w:t>תוחלת חיים</w:t>
      </w:r>
    </w:p>
    <w:p w:rsidR="008364A6" w:rsidRPr="00BD1D79" w:rsidRDefault="008364A6" w:rsidP="008364A6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 w:rsidRPr="00BD1D79">
        <w:rPr>
          <w:rFonts w:ascii="Gisha" w:hAnsi="Gisha" w:cs="Gisha"/>
          <w:sz w:val="22"/>
          <w:szCs w:val="22"/>
          <w:rtl/>
        </w:rPr>
        <w:t>בשנת 201</w:t>
      </w:r>
      <w:r>
        <w:rPr>
          <w:rFonts w:ascii="Gisha" w:hAnsi="Gisha" w:cs="Gisha" w:hint="cs"/>
          <w:sz w:val="22"/>
          <w:szCs w:val="22"/>
          <w:rtl/>
        </w:rPr>
        <w:t>5</w:t>
      </w:r>
      <w:r w:rsidRPr="00BD1D79">
        <w:rPr>
          <w:rFonts w:ascii="Gisha" w:hAnsi="Gisha" w:cs="Gisha"/>
          <w:sz w:val="22"/>
          <w:szCs w:val="22"/>
          <w:rtl/>
        </w:rPr>
        <w:t xml:space="preserve"> תוחלת החיים</w:t>
      </w:r>
      <w:r w:rsidRPr="00BD1D79">
        <w:rPr>
          <w:rStyle w:val="a5"/>
          <w:rFonts w:ascii="Gisha" w:hAnsi="Gisha" w:cs="Gisha"/>
          <w:sz w:val="22"/>
          <w:szCs w:val="22"/>
          <w:rtl/>
        </w:rPr>
        <w:footnoteReference w:id="2"/>
      </w:r>
      <w:r w:rsidRPr="00BD1D79">
        <w:rPr>
          <w:rFonts w:ascii="Gisha" w:hAnsi="Gisha" w:cs="Gisha"/>
          <w:sz w:val="22"/>
          <w:szCs w:val="22"/>
          <w:rtl/>
        </w:rPr>
        <w:t xml:space="preserve"> הממוצעת בישראל הייתה 80.</w:t>
      </w:r>
      <w:r>
        <w:rPr>
          <w:rFonts w:ascii="Gisha" w:hAnsi="Gisha" w:cs="Gisha" w:hint="cs"/>
          <w:sz w:val="22"/>
          <w:szCs w:val="22"/>
          <w:rtl/>
        </w:rPr>
        <w:t>1</w:t>
      </w:r>
      <w:r w:rsidRPr="00BD1D79">
        <w:rPr>
          <w:rFonts w:ascii="Gisha" w:hAnsi="Gisha" w:cs="Gisha"/>
          <w:sz w:val="22"/>
          <w:szCs w:val="22"/>
          <w:rtl/>
        </w:rPr>
        <w:t xml:space="preserve"> בקרב גברים, </w:t>
      </w:r>
      <w:r>
        <w:rPr>
          <w:rFonts w:ascii="Gisha" w:hAnsi="Gisha" w:cs="Gisha" w:hint="cs"/>
          <w:sz w:val="22"/>
          <w:szCs w:val="22"/>
          <w:rtl/>
        </w:rPr>
        <w:t>ירידה</w:t>
      </w:r>
      <w:r w:rsidRPr="00BD1D79">
        <w:rPr>
          <w:rFonts w:ascii="Gisha" w:hAnsi="Gisha" w:cs="Gisha"/>
          <w:sz w:val="22"/>
          <w:szCs w:val="22"/>
          <w:rtl/>
        </w:rPr>
        <w:t xml:space="preserve"> של 0.2 לעומת השנה הקודמת, ו- 84.1 בקרב נשים, ללא שינוי משנה שעברה</w:t>
      </w:r>
      <w:r w:rsidRPr="00BD1D79">
        <w:rPr>
          <w:rStyle w:val="a5"/>
          <w:rFonts w:ascii="Gisha" w:hAnsi="Gisha" w:cs="Gisha"/>
          <w:sz w:val="22"/>
          <w:szCs w:val="22"/>
          <w:rtl/>
        </w:rPr>
        <w:footnoteReference w:id="3"/>
      </w:r>
      <w:r w:rsidRPr="00BD1D79">
        <w:rPr>
          <w:rFonts w:ascii="Gisha" w:hAnsi="Gisha" w:cs="Gisha"/>
          <w:sz w:val="22"/>
          <w:szCs w:val="22"/>
          <w:rtl/>
        </w:rPr>
        <w:t xml:space="preserve">. </w:t>
      </w:r>
    </w:p>
    <w:p w:rsidR="00EC1C20" w:rsidRDefault="00661D76" w:rsidP="009F6721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>
        <w:rPr>
          <w:rFonts w:ascii="Gisha" w:hAnsi="Gisha" w:cs="Gisha" w:hint="cs"/>
          <w:sz w:val="22"/>
          <w:szCs w:val="22"/>
          <w:rtl/>
        </w:rPr>
        <w:t xml:space="preserve">בחינה של תוחלת החיים בישראל בהשוואה למדינות ה- </w:t>
      </w:r>
      <w:r>
        <w:rPr>
          <w:rFonts w:ascii="Gisha" w:hAnsi="Gisha" w:cs="Gisha"/>
          <w:sz w:val="22"/>
          <w:szCs w:val="22"/>
        </w:rPr>
        <w:t>OECD</w:t>
      </w:r>
      <w:r>
        <w:rPr>
          <w:rFonts w:ascii="Gisha" w:hAnsi="Gisha" w:cs="Gisha" w:hint="cs"/>
          <w:sz w:val="22"/>
          <w:szCs w:val="22"/>
          <w:rtl/>
        </w:rPr>
        <w:t xml:space="preserve"> (נתוני </w:t>
      </w:r>
      <w:r w:rsidR="008364A6">
        <w:rPr>
          <w:rFonts w:ascii="Gisha" w:hAnsi="Gisha" w:cs="Gisha" w:hint="cs"/>
          <w:sz w:val="22"/>
          <w:szCs w:val="22"/>
          <w:rtl/>
        </w:rPr>
        <w:t>2014</w:t>
      </w:r>
      <w:r>
        <w:rPr>
          <w:rFonts w:ascii="Gisha" w:hAnsi="Gisha" w:cs="Gisha" w:hint="cs"/>
          <w:sz w:val="22"/>
          <w:szCs w:val="22"/>
          <w:rtl/>
        </w:rPr>
        <w:t>)</w:t>
      </w:r>
      <w:r w:rsidR="008364A6">
        <w:rPr>
          <w:rFonts w:ascii="Gisha" w:hAnsi="Gisha" w:cs="Gisha" w:hint="cs"/>
          <w:sz w:val="22"/>
          <w:szCs w:val="22"/>
          <w:rtl/>
        </w:rPr>
        <w:t xml:space="preserve"> </w:t>
      </w:r>
      <w:r>
        <w:rPr>
          <w:rFonts w:ascii="Gisha" w:hAnsi="Gisha" w:cs="Gisha" w:hint="cs"/>
          <w:sz w:val="22"/>
          <w:szCs w:val="22"/>
          <w:rtl/>
        </w:rPr>
        <w:t xml:space="preserve">מראה </w:t>
      </w:r>
      <w:r w:rsidR="008364A6">
        <w:rPr>
          <w:rFonts w:ascii="Gisha" w:hAnsi="Gisha" w:cs="Gisha" w:hint="cs"/>
          <w:sz w:val="22"/>
          <w:szCs w:val="22"/>
          <w:rtl/>
        </w:rPr>
        <w:t xml:space="preserve">כי </w:t>
      </w:r>
      <w:r w:rsidR="008364A6" w:rsidRPr="0069108C">
        <w:rPr>
          <w:rFonts w:ascii="Gisha" w:hAnsi="Gisha" w:cs="Gisha"/>
          <w:sz w:val="22"/>
          <w:szCs w:val="22"/>
          <w:rtl/>
        </w:rPr>
        <w:t xml:space="preserve">תוחלת </w:t>
      </w:r>
      <w:r w:rsidR="008364A6" w:rsidRPr="0069108C">
        <w:rPr>
          <w:rFonts w:ascii="Gisha" w:hAnsi="Gisha" w:cs="Gisha" w:hint="cs"/>
          <w:sz w:val="22"/>
          <w:szCs w:val="22"/>
          <w:rtl/>
        </w:rPr>
        <w:t>ה</w:t>
      </w:r>
      <w:r w:rsidR="008364A6" w:rsidRPr="0069108C">
        <w:rPr>
          <w:rFonts w:ascii="Gisha" w:hAnsi="Gisha" w:cs="Gisha"/>
          <w:sz w:val="22"/>
          <w:szCs w:val="22"/>
          <w:rtl/>
        </w:rPr>
        <w:t>חיים בקרב הגברים בישראל</w:t>
      </w:r>
      <w:r w:rsidR="008364A6">
        <w:rPr>
          <w:rFonts w:ascii="Gisha" w:hAnsi="Gisha" w:cs="Gisha" w:hint="cs"/>
          <w:sz w:val="22"/>
          <w:szCs w:val="22"/>
          <w:rtl/>
        </w:rPr>
        <w:t xml:space="preserve"> (80.3</w:t>
      </w:r>
      <w:r>
        <w:rPr>
          <w:rFonts w:ascii="Gisha" w:hAnsi="Gisha" w:cs="Gisha" w:hint="cs"/>
          <w:sz w:val="22"/>
          <w:szCs w:val="22"/>
          <w:rtl/>
        </w:rPr>
        <w:t xml:space="preserve"> בשנת 2014</w:t>
      </w:r>
      <w:r w:rsidR="008364A6">
        <w:rPr>
          <w:rFonts w:ascii="Gisha" w:hAnsi="Gisha" w:cs="Gisha" w:hint="cs"/>
          <w:sz w:val="22"/>
          <w:szCs w:val="22"/>
          <w:rtl/>
        </w:rPr>
        <w:t>)</w:t>
      </w:r>
      <w:r w:rsidR="009F6721">
        <w:rPr>
          <w:rFonts w:ascii="Gisha" w:hAnsi="Gisha" w:cs="Gisha" w:hint="cs"/>
          <w:sz w:val="22"/>
          <w:szCs w:val="22"/>
          <w:rtl/>
        </w:rPr>
        <w:t>,</w:t>
      </w:r>
      <w:r w:rsidR="008364A6" w:rsidRPr="0069108C">
        <w:rPr>
          <w:rFonts w:ascii="Gisha" w:hAnsi="Gisha" w:cs="Gisha"/>
          <w:sz w:val="22"/>
          <w:szCs w:val="22"/>
          <w:rtl/>
        </w:rPr>
        <w:t xml:space="preserve"> </w:t>
      </w:r>
      <w:r w:rsidR="008364A6">
        <w:rPr>
          <w:rFonts w:ascii="Gisha" w:hAnsi="Gisha" w:cs="Gisha" w:hint="cs"/>
          <w:sz w:val="22"/>
          <w:szCs w:val="22"/>
          <w:rtl/>
        </w:rPr>
        <w:t xml:space="preserve">הייתה </w:t>
      </w:r>
      <w:r w:rsidR="008364A6" w:rsidRPr="0069108C">
        <w:rPr>
          <w:rFonts w:ascii="Gisha" w:hAnsi="Gisha" w:cs="Gisha"/>
          <w:sz w:val="22"/>
          <w:szCs w:val="22"/>
          <w:rtl/>
        </w:rPr>
        <w:t>השישית מבין מדינות ה-</w:t>
      </w:r>
      <w:r w:rsidR="008364A6" w:rsidRPr="0069108C">
        <w:rPr>
          <w:rFonts w:ascii="Gisha" w:hAnsi="Gisha" w:cs="Gisha"/>
          <w:sz w:val="22"/>
          <w:szCs w:val="22"/>
        </w:rPr>
        <w:t>OECD</w:t>
      </w:r>
      <w:r w:rsidR="008364A6" w:rsidRPr="0069108C">
        <w:rPr>
          <w:rFonts w:ascii="Gisha" w:hAnsi="Gisha" w:cs="Gisha"/>
          <w:sz w:val="22"/>
          <w:szCs w:val="22"/>
          <w:rtl/>
        </w:rPr>
        <w:t xml:space="preserve"> (יחד עם א</w:t>
      </w:r>
      <w:r w:rsidR="008364A6">
        <w:rPr>
          <w:rFonts w:ascii="Gisha" w:hAnsi="Gisha" w:cs="Gisha" w:hint="cs"/>
          <w:sz w:val="22"/>
          <w:szCs w:val="22"/>
          <w:rtl/>
        </w:rPr>
        <w:t>וס</w:t>
      </w:r>
      <w:r w:rsidR="008364A6" w:rsidRPr="0069108C">
        <w:rPr>
          <w:rFonts w:ascii="Gisha" w:hAnsi="Gisha" w:cs="Gisha" w:hint="cs"/>
          <w:sz w:val="22"/>
          <w:szCs w:val="22"/>
          <w:rtl/>
        </w:rPr>
        <w:t>ט</w:t>
      </w:r>
      <w:r w:rsidR="008364A6">
        <w:rPr>
          <w:rFonts w:ascii="Gisha" w:hAnsi="Gisha" w:cs="Gisha" w:hint="cs"/>
          <w:sz w:val="22"/>
          <w:szCs w:val="22"/>
          <w:rtl/>
        </w:rPr>
        <w:t>ר</w:t>
      </w:r>
      <w:r w:rsidR="008364A6" w:rsidRPr="0069108C">
        <w:rPr>
          <w:rFonts w:ascii="Gisha" w:hAnsi="Gisha" w:cs="Gisha" w:hint="cs"/>
          <w:sz w:val="22"/>
          <w:szCs w:val="22"/>
          <w:rtl/>
        </w:rPr>
        <w:t>ליה</w:t>
      </w:r>
      <w:r w:rsidR="008364A6" w:rsidRPr="0069108C">
        <w:rPr>
          <w:rFonts w:ascii="Gisha" w:hAnsi="Gisha" w:cs="Gisha"/>
          <w:sz w:val="22"/>
          <w:szCs w:val="22"/>
          <w:rtl/>
        </w:rPr>
        <w:t>) וגבוהה ב-2.</w:t>
      </w:r>
      <w:r w:rsidR="008364A6">
        <w:rPr>
          <w:rFonts w:ascii="Gisha" w:hAnsi="Gisha" w:cs="Gisha" w:hint="cs"/>
          <w:sz w:val="22"/>
          <w:szCs w:val="22"/>
          <w:rtl/>
        </w:rPr>
        <w:t>4</w:t>
      </w:r>
      <w:r w:rsidR="008364A6" w:rsidRPr="0069108C">
        <w:rPr>
          <w:rFonts w:ascii="Gisha" w:hAnsi="Gisha" w:cs="Gisha"/>
          <w:sz w:val="22"/>
          <w:szCs w:val="22"/>
          <w:rtl/>
        </w:rPr>
        <w:t xml:space="preserve"> שנים מהממוצע במדינות ה-</w:t>
      </w:r>
      <w:r w:rsidR="008364A6" w:rsidRPr="0069108C">
        <w:rPr>
          <w:rFonts w:ascii="Gisha" w:hAnsi="Gisha" w:cs="Gisha"/>
          <w:sz w:val="22"/>
          <w:szCs w:val="22"/>
        </w:rPr>
        <w:t>OECD</w:t>
      </w:r>
      <w:r w:rsidR="008364A6" w:rsidRPr="0069108C">
        <w:rPr>
          <w:rFonts w:ascii="Gisha" w:hAnsi="Gisha" w:cs="Gisha"/>
          <w:sz w:val="22"/>
          <w:szCs w:val="22"/>
          <w:rtl/>
        </w:rPr>
        <w:t xml:space="preserve">. תוחלת החיים של הנשים </w:t>
      </w:r>
      <w:r w:rsidR="00390F3B">
        <w:rPr>
          <w:rFonts w:ascii="Gisha" w:hAnsi="Gisha" w:cs="Gisha" w:hint="cs"/>
          <w:sz w:val="22"/>
          <w:szCs w:val="22"/>
          <w:rtl/>
        </w:rPr>
        <w:t xml:space="preserve">באותה השנה דורגה </w:t>
      </w:r>
      <w:r w:rsidR="008364A6" w:rsidRPr="0069108C">
        <w:rPr>
          <w:rFonts w:ascii="Gisha" w:hAnsi="Gisha" w:cs="Gisha"/>
          <w:sz w:val="22"/>
          <w:szCs w:val="22"/>
          <w:rtl/>
        </w:rPr>
        <w:t>במקום ה-11 מבין מדינות ה-</w:t>
      </w:r>
      <w:r w:rsidR="008364A6" w:rsidRPr="0069108C">
        <w:rPr>
          <w:rFonts w:ascii="Gisha" w:hAnsi="Gisha" w:cs="Gisha"/>
          <w:sz w:val="22"/>
          <w:szCs w:val="22"/>
        </w:rPr>
        <w:t>OECD</w:t>
      </w:r>
      <w:r w:rsidR="008364A6" w:rsidRPr="0069108C">
        <w:rPr>
          <w:rFonts w:ascii="Gisha" w:hAnsi="Gisha" w:cs="Gisha"/>
          <w:sz w:val="22"/>
          <w:szCs w:val="22"/>
          <w:rtl/>
        </w:rPr>
        <w:t xml:space="preserve"> (יחד עם </w:t>
      </w:r>
      <w:r w:rsidR="008364A6">
        <w:rPr>
          <w:rFonts w:ascii="Gisha" w:hAnsi="Gisha" w:cs="Gisha" w:hint="cs"/>
          <w:sz w:val="22"/>
          <w:szCs w:val="22"/>
          <w:rtl/>
        </w:rPr>
        <w:t>יוון, פינלנד וסלובניה</w:t>
      </w:r>
      <w:r w:rsidR="008364A6" w:rsidRPr="0069108C">
        <w:rPr>
          <w:rFonts w:ascii="Gisha" w:hAnsi="Gisha" w:cs="Gisha"/>
          <w:sz w:val="22"/>
          <w:szCs w:val="22"/>
          <w:rtl/>
        </w:rPr>
        <w:t>), ו</w:t>
      </w:r>
      <w:r>
        <w:rPr>
          <w:rFonts w:ascii="Gisha" w:hAnsi="Gisha" w:cs="Gisha" w:hint="cs"/>
          <w:sz w:val="22"/>
          <w:szCs w:val="22"/>
          <w:rtl/>
        </w:rPr>
        <w:t xml:space="preserve">נמצאה </w:t>
      </w:r>
      <w:r w:rsidR="008364A6" w:rsidRPr="0069108C">
        <w:rPr>
          <w:rFonts w:ascii="Gisha" w:hAnsi="Gisha" w:cs="Gisha"/>
          <w:sz w:val="22"/>
          <w:szCs w:val="22"/>
          <w:rtl/>
        </w:rPr>
        <w:t xml:space="preserve">גבוהה ב-0.8 שנים מהממוצע </w:t>
      </w:r>
      <w:r w:rsidR="008364A6" w:rsidRPr="00477BB5">
        <w:rPr>
          <w:rFonts w:ascii="Gisha" w:hAnsi="Gisha" w:cs="Gisha"/>
          <w:sz w:val="22"/>
          <w:szCs w:val="22"/>
          <w:rtl/>
        </w:rPr>
        <w:t>במדינות ה-</w:t>
      </w:r>
      <w:r w:rsidR="008364A6" w:rsidRPr="00477BB5">
        <w:rPr>
          <w:rFonts w:ascii="Gisha" w:hAnsi="Gisha" w:cs="Gisha"/>
          <w:sz w:val="22"/>
          <w:szCs w:val="22"/>
        </w:rPr>
        <w:t>OECD</w:t>
      </w:r>
      <w:r w:rsidR="008364A6" w:rsidRPr="00477BB5">
        <w:rPr>
          <w:rFonts w:ascii="Gisha" w:hAnsi="Gisha" w:cs="Gisha"/>
          <w:sz w:val="22"/>
          <w:szCs w:val="22"/>
          <w:rtl/>
        </w:rPr>
        <w:t>.</w:t>
      </w:r>
      <w:r w:rsidR="00721B1F" w:rsidRPr="00477BB5">
        <w:rPr>
          <w:rFonts w:ascii="Gisha" w:hAnsi="Gisha" w:cs="Gisha" w:hint="cs"/>
          <w:sz w:val="22"/>
          <w:szCs w:val="22"/>
          <w:rtl/>
        </w:rPr>
        <w:t xml:space="preserve"> </w:t>
      </w:r>
      <w:r w:rsidR="00721B1F" w:rsidRPr="007F407F">
        <w:rPr>
          <w:rFonts w:ascii="Gisha" w:hAnsi="Gisha" w:cs="Gisha" w:hint="cs"/>
          <w:sz w:val="22"/>
          <w:szCs w:val="22"/>
          <w:rtl/>
        </w:rPr>
        <w:t xml:space="preserve">הפער בין גברים לנשים בדירוג </w:t>
      </w:r>
      <w:r w:rsidR="003D0513" w:rsidRPr="007F407F">
        <w:rPr>
          <w:rFonts w:ascii="Gisha" w:hAnsi="Gisha" w:cs="Gisha" w:hint="cs"/>
          <w:sz w:val="22"/>
          <w:szCs w:val="22"/>
          <w:rtl/>
        </w:rPr>
        <w:t>ה</w:t>
      </w:r>
      <w:r w:rsidR="00721B1F" w:rsidRPr="007F407F">
        <w:rPr>
          <w:rFonts w:ascii="Gisha" w:hAnsi="Gisha" w:cs="Gisha" w:hint="cs"/>
          <w:sz w:val="22"/>
          <w:szCs w:val="22"/>
          <w:rtl/>
        </w:rPr>
        <w:t xml:space="preserve">בין לאומי לטובת הגברים מצביע על </w:t>
      </w:r>
      <w:r w:rsidR="009F6721">
        <w:rPr>
          <w:rFonts w:ascii="Gisha" w:hAnsi="Gisha" w:cs="Gisha" w:hint="cs"/>
          <w:sz w:val="22"/>
          <w:szCs w:val="22"/>
          <w:rtl/>
        </w:rPr>
        <w:t>ה</w:t>
      </w:r>
      <w:r w:rsidR="003D0513" w:rsidRPr="007F407F">
        <w:rPr>
          <w:rFonts w:ascii="Gisha" w:hAnsi="Gisha" w:cs="Gisha" w:hint="cs"/>
          <w:sz w:val="22"/>
          <w:szCs w:val="22"/>
          <w:rtl/>
        </w:rPr>
        <w:t xml:space="preserve">פוטנציאל </w:t>
      </w:r>
      <w:r w:rsidR="009F6721">
        <w:rPr>
          <w:rFonts w:ascii="Gisha" w:hAnsi="Gisha" w:cs="Gisha" w:hint="cs"/>
          <w:sz w:val="22"/>
          <w:szCs w:val="22"/>
          <w:rtl/>
        </w:rPr>
        <w:t>ל</w:t>
      </w:r>
      <w:r w:rsidR="003D0513" w:rsidRPr="007F407F">
        <w:rPr>
          <w:rFonts w:ascii="Gisha" w:hAnsi="Gisha" w:cs="Gisha" w:hint="cs"/>
          <w:sz w:val="22"/>
          <w:szCs w:val="22"/>
          <w:rtl/>
        </w:rPr>
        <w:t>הארכת משך החיים בקרב נשים ישראליות, יעד שראוי לפעול למימושו.</w:t>
      </w:r>
    </w:p>
    <w:p w:rsidR="008364A6" w:rsidRPr="00BD1D79" w:rsidRDefault="00661D76" w:rsidP="00661D76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>
        <w:rPr>
          <w:rFonts w:ascii="Gisha" w:hAnsi="Gisha" w:cs="Gisha" w:hint="cs"/>
          <w:sz w:val="22"/>
          <w:szCs w:val="22"/>
          <w:rtl/>
        </w:rPr>
        <w:t xml:space="preserve">החל </w:t>
      </w:r>
      <w:r w:rsidR="008364A6">
        <w:rPr>
          <w:rFonts w:ascii="Gisha" w:hAnsi="Gisha" w:cs="Gisha" w:hint="cs"/>
          <w:sz w:val="22"/>
          <w:szCs w:val="22"/>
          <w:rtl/>
        </w:rPr>
        <w:t xml:space="preserve">משנת 2010 </w:t>
      </w:r>
      <w:r w:rsidR="00390F3B">
        <w:rPr>
          <w:rFonts w:ascii="Gisha" w:hAnsi="Gisha" w:cs="Gisha" w:hint="cs"/>
          <w:sz w:val="22"/>
          <w:szCs w:val="22"/>
          <w:rtl/>
        </w:rPr>
        <w:t xml:space="preserve">נרשמה </w:t>
      </w:r>
      <w:r w:rsidR="008364A6">
        <w:rPr>
          <w:rFonts w:ascii="Gisha" w:hAnsi="Gisha" w:cs="Gisha" w:hint="cs"/>
          <w:sz w:val="22"/>
          <w:szCs w:val="22"/>
          <w:rtl/>
        </w:rPr>
        <w:t xml:space="preserve">ירידה </w:t>
      </w:r>
      <w:r>
        <w:rPr>
          <w:rFonts w:ascii="Gisha" w:hAnsi="Gisha" w:cs="Gisha" w:hint="cs"/>
          <w:sz w:val="22"/>
          <w:szCs w:val="22"/>
          <w:rtl/>
        </w:rPr>
        <w:t xml:space="preserve">בדירוג בתוחלת חיים בלידה </w:t>
      </w:r>
      <w:r w:rsidR="008364A6">
        <w:rPr>
          <w:rFonts w:ascii="Gisha" w:hAnsi="Gisha" w:cs="Gisha" w:hint="cs"/>
          <w:sz w:val="22"/>
          <w:szCs w:val="22"/>
          <w:rtl/>
        </w:rPr>
        <w:t xml:space="preserve">של ישראל </w:t>
      </w:r>
      <w:r w:rsidR="00390F3B">
        <w:rPr>
          <w:rFonts w:ascii="Gisha" w:hAnsi="Gisha" w:cs="Gisha" w:hint="cs"/>
          <w:sz w:val="22"/>
          <w:szCs w:val="22"/>
          <w:rtl/>
        </w:rPr>
        <w:t xml:space="preserve">ביחס למדינות ה- </w:t>
      </w:r>
      <w:r w:rsidR="00390F3B">
        <w:rPr>
          <w:rFonts w:ascii="Gisha" w:hAnsi="Gisha" w:cs="Gisha"/>
          <w:sz w:val="22"/>
          <w:szCs w:val="22"/>
        </w:rPr>
        <w:t>OECD</w:t>
      </w:r>
      <w:r w:rsidR="00390F3B">
        <w:rPr>
          <w:rFonts w:ascii="Gisha" w:hAnsi="Gisha" w:cs="Gisha" w:hint="cs"/>
          <w:sz w:val="22"/>
          <w:szCs w:val="22"/>
          <w:rtl/>
        </w:rPr>
        <w:t xml:space="preserve">, מהמקום </w:t>
      </w:r>
      <w:r w:rsidR="008364A6">
        <w:rPr>
          <w:rFonts w:ascii="Gisha" w:hAnsi="Gisha" w:cs="Gisha" w:hint="cs"/>
          <w:sz w:val="22"/>
          <w:szCs w:val="22"/>
          <w:rtl/>
        </w:rPr>
        <w:t>ה</w:t>
      </w:r>
      <w:r w:rsidR="00960926">
        <w:rPr>
          <w:rFonts w:ascii="Gisha" w:hAnsi="Gisha" w:cs="Gisha" w:hint="cs"/>
          <w:sz w:val="22"/>
          <w:szCs w:val="22"/>
          <w:rtl/>
        </w:rPr>
        <w:t>שמיני</w:t>
      </w:r>
      <w:r w:rsidR="008364A6">
        <w:rPr>
          <w:rFonts w:ascii="Gisha" w:hAnsi="Gisha" w:cs="Gisha" w:hint="cs"/>
          <w:sz w:val="22"/>
          <w:szCs w:val="22"/>
          <w:rtl/>
        </w:rPr>
        <w:t xml:space="preserve"> ל</w:t>
      </w:r>
      <w:r w:rsidR="00960926">
        <w:rPr>
          <w:rFonts w:ascii="Gisha" w:hAnsi="Gisha" w:cs="Gisha" w:hint="cs"/>
          <w:sz w:val="22"/>
          <w:szCs w:val="22"/>
          <w:rtl/>
        </w:rPr>
        <w:t>אחד עשר</w:t>
      </w:r>
      <w:r w:rsidR="002F14BF">
        <w:rPr>
          <w:rFonts w:ascii="Gisha" w:hAnsi="Gisha" w:cs="Gisha" w:hint="cs"/>
          <w:sz w:val="22"/>
          <w:szCs w:val="22"/>
          <w:rtl/>
        </w:rPr>
        <w:t>ה</w:t>
      </w:r>
      <w:r w:rsidR="00960926">
        <w:rPr>
          <w:rFonts w:ascii="Gisha" w:hAnsi="Gisha" w:cs="Gisha" w:hint="cs"/>
          <w:sz w:val="22"/>
          <w:szCs w:val="22"/>
          <w:rtl/>
        </w:rPr>
        <w:t xml:space="preserve"> </w:t>
      </w:r>
      <w:r w:rsidR="008364A6">
        <w:rPr>
          <w:rFonts w:ascii="Gisha" w:hAnsi="Gisha" w:cs="Gisha" w:hint="cs"/>
          <w:sz w:val="22"/>
          <w:szCs w:val="22"/>
          <w:rtl/>
        </w:rPr>
        <w:t>בקרב נשים</w:t>
      </w:r>
      <w:r w:rsidR="00390F3B">
        <w:rPr>
          <w:rFonts w:ascii="Gisha" w:hAnsi="Gisha" w:cs="Gisha" w:hint="cs"/>
          <w:sz w:val="22"/>
          <w:szCs w:val="22"/>
          <w:rtl/>
        </w:rPr>
        <w:t>,</w:t>
      </w:r>
      <w:r w:rsidR="008364A6">
        <w:rPr>
          <w:rFonts w:ascii="Gisha" w:hAnsi="Gisha" w:cs="Gisha" w:hint="cs"/>
          <w:sz w:val="22"/>
          <w:szCs w:val="22"/>
          <w:rtl/>
        </w:rPr>
        <w:t xml:space="preserve"> ומהמקום ה</w:t>
      </w:r>
      <w:r w:rsidR="00960926">
        <w:rPr>
          <w:rFonts w:ascii="Gisha" w:hAnsi="Gisha" w:cs="Gisha" w:hint="cs"/>
          <w:sz w:val="22"/>
          <w:szCs w:val="22"/>
          <w:rtl/>
        </w:rPr>
        <w:t>שני</w:t>
      </w:r>
      <w:r w:rsidR="008364A6">
        <w:rPr>
          <w:rFonts w:ascii="Gisha" w:hAnsi="Gisha" w:cs="Gisha" w:hint="cs"/>
          <w:sz w:val="22"/>
          <w:szCs w:val="22"/>
          <w:rtl/>
        </w:rPr>
        <w:t xml:space="preserve"> ל</w:t>
      </w:r>
      <w:r w:rsidR="00960926">
        <w:rPr>
          <w:rFonts w:ascii="Gisha" w:hAnsi="Gisha" w:cs="Gisha" w:hint="cs"/>
          <w:sz w:val="22"/>
          <w:szCs w:val="22"/>
          <w:rtl/>
        </w:rPr>
        <w:t>שישי</w:t>
      </w:r>
      <w:r w:rsidR="008364A6">
        <w:rPr>
          <w:rFonts w:ascii="Gisha" w:hAnsi="Gisha" w:cs="Gisha" w:hint="cs"/>
          <w:sz w:val="22"/>
          <w:szCs w:val="22"/>
          <w:rtl/>
        </w:rPr>
        <w:t xml:space="preserve"> בקרב גברים. </w:t>
      </w:r>
      <w:r>
        <w:rPr>
          <w:rFonts w:ascii="Gisha" w:hAnsi="Gisha" w:cs="Gisha" w:hint="cs"/>
          <w:sz w:val="22"/>
          <w:szCs w:val="22"/>
          <w:rtl/>
        </w:rPr>
        <w:t xml:space="preserve"> </w:t>
      </w:r>
    </w:p>
    <w:p w:rsidR="00390F3B" w:rsidRDefault="008364A6" w:rsidP="008B50E3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 w:rsidRPr="00BD1D79">
        <w:rPr>
          <w:rFonts w:ascii="Gisha" w:hAnsi="Gisha" w:cs="Gisha"/>
          <w:sz w:val="22"/>
          <w:szCs w:val="22"/>
          <w:rtl/>
        </w:rPr>
        <w:t xml:space="preserve">בפילוח </w:t>
      </w:r>
      <w:r w:rsidR="00A865CB">
        <w:rPr>
          <w:rFonts w:ascii="Gisha" w:hAnsi="Gisha" w:cs="Gisha" w:hint="cs"/>
          <w:sz w:val="22"/>
          <w:szCs w:val="22"/>
          <w:rtl/>
        </w:rPr>
        <w:t xml:space="preserve">לפי </w:t>
      </w:r>
      <w:r w:rsidRPr="00BD1D79">
        <w:rPr>
          <w:rFonts w:ascii="Gisha" w:hAnsi="Gisha" w:cs="Gisha"/>
          <w:sz w:val="22"/>
          <w:szCs w:val="22"/>
          <w:rtl/>
        </w:rPr>
        <w:t>קבוצות אוכלוסייה</w:t>
      </w:r>
      <w:r w:rsidR="00390F3B">
        <w:rPr>
          <w:rFonts w:ascii="Gisha" w:hAnsi="Gisha" w:cs="Gisha" w:hint="cs"/>
          <w:sz w:val="22"/>
          <w:szCs w:val="22"/>
          <w:rtl/>
        </w:rPr>
        <w:t>,</w:t>
      </w:r>
      <w:r w:rsidRPr="00BD1D79">
        <w:rPr>
          <w:rFonts w:ascii="Gisha" w:hAnsi="Gisha" w:cs="Gisha"/>
          <w:sz w:val="22"/>
          <w:szCs w:val="22"/>
          <w:rtl/>
        </w:rPr>
        <w:t xml:space="preserve"> ניתן </w:t>
      </w:r>
      <w:r w:rsidR="00390F3B">
        <w:rPr>
          <w:rFonts w:ascii="Gisha" w:hAnsi="Gisha" w:cs="Gisha" w:hint="cs"/>
          <w:sz w:val="22"/>
          <w:szCs w:val="22"/>
          <w:rtl/>
        </w:rPr>
        <w:t xml:space="preserve">לראות התייצבות במדד תוחלת </w:t>
      </w:r>
      <w:r w:rsidR="008B50E3">
        <w:rPr>
          <w:rFonts w:ascii="Gisha" w:hAnsi="Gisha" w:cs="Gisha" w:hint="cs"/>
          <w:sz w:val="22"/>
          <w:szCs w:val="22"/>
          <w:rtl/>
        </w:rPr>
        <w:t>ה</w:t>
      </w:r>
      <w:r w:rsidR="00390F3B">
        <w:rPr>
          <w:rFonts w:ascii="Gisha" w:hAnsi="Gisha" w:cs="Gisha" w:hint="cs"/>
          <w:sz w:val="22"/>
          <w:szCs w:val="22"/>
          <w:rtl/>
        </w:rPr>
        <w:t xml:space="preserve">חיים בשנת </w:t>
      </w:r>
      <w:r w:rsidR="00EC3D57">
        <w:rPr>
          <w:rFonts w:ascii="Gisha" w:hAnsi="Gisha" w:cs="Gisha" w:hint="cs"/>
          <w:sz w:val="22"/>
          <w:szCs w:val="22"/>
          <w:rtl/>
        </w:rPr>
        <w:t>ה</w:t>
      </w:r>
      <w:r w:rsidR="00390F3B">
        <w:rPr>
          <w:rFonts w:ascii="Gisha" w:hAnsi="Gisha" w:cs="Gisha" w:hint="cs"/>
          <w:sz w:val="22"/>
          <w:szCs w:val="22"/>
          <w:rtl/>
        </w:rPr>
        <w:t>מדידה האחרונה</w:t>
      </w:r>
      <w:r w:rsidR="00960926">
        <w:rPr>
          <w:rFonts w:ascii="Gisha" w:hAnsi="Gisha" w:cs="Gisha" w:hint="cs"/>
          <w:sz w:val="22"/>
          <w:szCs w:val="22"/>
          <w:rtl/>
        </w:rPr>
        <w:t xml:space="preserve"> (2015)</w:t>
      </w:r>
      <w:r w:rsidR="00895815">
        <w:rPr>
          <w:rFonts w:ascii="Gisha" w:hAnsi="Gisha" w:cs="Gisha" w:hint="cs"/>
          <w:sz w:val="22"/>
          <w:szCs w:val="22"/>
          <w:rtl/>
        </w:rPr>
        <w:t xml:space="preserve"> בקרב נשים יהודיות (84.5) וגברים ערביים (76.9), וירידה קלה ב</w:t>
      </w:r>
      <w:r w:rsidR="00390F3B">
        <w:rPr>
          <w:rFonts w:ascii="Gisha" w:hAnsi="Gisha" w:cs="Gisha" w:hint="cs"/>
          <w:sz w:val="22"/>
          <w:szCs w:val="22"/>
          <w:rtl/>
        </w:rPr>
        <w:t xml:space="preserve">קרב </w:t>
      </w:r>
      <w:r w:rsidR="00895815">
        <w:rPr>
          <w:rFonts w:ascii="Gisha" w:hAnsi="Gisha" w:cs="Gisha" w:hint="cs"/>
          <w:sz w:val="22"/>
          <w:szCs w:val="22"/>
          <w:rtl/>
        </w:rPr>
        <w:t xml:space="preserve">גברים </w:t>
      </w:r>
      <w:r w:rsidR="00390F3B">
        <w:rPr>
          <w:rFonts w:ascii="Gisha" w:hAnsi="Gisha" w:cs="Gisha" w:hint="cs"/>
          <w:sz w:val="22"/>
          <w:szCs w:val="22"/>
          <w:rtl/>
        </w:rPr>
        <w:t>יהודים</w:t>
      </w:r>
      <w:r w:rsidR="00895815">
        <w:rPr>
          <w:rFonts w:ascii="Gisha" w:hAnsi="Gisha" w:cs="Gisha" w:hint="cs"/>
          <w:sz w:val="22"/>
          <w:szCs w:val="22"/>
          <w:rtl/>
        </w:rPr>
        <w:t xml:space="preserve"> (</w:t>
      </w:r>
      <w:r w:rsidR="00390F3B">
        <w:rPr>
          <w:rFonts w:ascii="Gisha" w:hAnsi="Gisha" w:cs="Gisha" w:hint="cs"/>
          <w:sz w:val="22"/>
          <w:szCs w:val="22"/>
          <w:rtl/>
        </w:rPr>
        <w:t xml:space="preserve">80.9 </w:t>
      </w:r>
      <w:r w:rsidR="00895815">
        <w:rPr>
          <w:rFonts w:ascii="Gisha" w:hAnsi="Gisha" w:cs="Gisha" w:hint="cs"/>
          <w:sz w:val="22"/>
          <w:szCs w:val="22"/>
          <w:rtl/>
        </w:rPr>
        <w:t>ב- 2015 לעומת 81.1 ב- 2014) ונשים ערביות (81.1 בשנת 2015 לעומת 81.2 ב- 2014).</w:t>
      </w:r>
    </w:p>
    <w:p w:rsidR="00721B1F" w:rsidRDefault="00721B1F" w:rsidP="008B50E3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</w:p>
    <w:p w:rsidR="008364A6" w:rsidRDefault="008364A6" w:rsidP="00593803">
      <w:pPr>
        <w:tabs>
          <w:tab w:val="left" w:pos="9530"/>
        </w:tabs>
        <w:spacing w:after="0" w:line="24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 w:rsidRPr="00BD1D79">
        <w:rPr>
          <w:rFonts w:ascii="Gisha" w:hAnsi="Gisha" w:cs="Gisha"/>
          <w:b/>
          <w:bCs/>
          <w:sz w:val="22"/>
          <w:szCs w:val="22"/>
          <w:rtl/>
        </w:rPr>
        <w:t xml:space="preserve">תרשים </w:t>
      </w:r>
      <w:r w:rsidR="00DE29DA">
        <w:rPr>
          <w:rFonts w:ascii="Gisha" w:hAnsi="Gisha" w:cs="Gisha" w:hint="cs"/>
          <w:b/>
          <w:bCs/>
          <w:sz w:val="22"/>
          <w:szCs w:val="22"/>
          <w:rtl/>
        </w:rPr>
        <w:t>1</w:t>
      </w:r>
      <w:r w:rsidRPr="00BD1D79">
        <w:rPr>
          <w:rFonts w:ascii="Gisha" w:hAnsi="Gisha" w:cs="Gisha"/>
          <w:b/>
          <w:bCs/>
          <w:sz w:val="22"/>
          <w:szCs w:val="22"/>
          <w:rtl/>
        </w:rPr>
        <w:t>. תוחלת חיים בלידה לפי קבוצות אוכלוסייה ומגדר 1975-201</w:t>
      </w:r>
      <w:r w:rsidR="00593803">
        <w:rPr>
          <w:rFonts w:ascii="Gisha" w:hAnsi="Gisha" w:cs="Gisha" w:hint="cs"/>
          <w:b/>
          <w:bCs/>
          <w:sz w:val="22"/>
          <w:szCs w:val="22"/>
          <w:rtl/>
        </w:rPr>
        <w:t>5</w:t>
      </w:r>
    </w:p>
    <w:p w:rsidR="00721B1F" w:rsidRDefault="00721B1F" w:rsidP="00593803">
      <w:pPr>
        <w:tabs>
          <w:tab w:val="left" w:pos="9530"/>
        </w:tabs>
        <w:spacing w:after="0" w:line="24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</w:p>
    <w:p w:rsidR="008364A6" w:rsidRDefault="008364A6" w:rsidP="008364A6">
      <w:pPr>
        <w:tabs>
          <w:tab w:val="left" w:pos="9530"/>
        </w:tabs>
        <w:spacing w:after="0" w:line="24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 w:rsidRPr="00A865CB">
        <w:rPr>
          <w:noProof/>
          <w:sz w:val="6"/>
          <w:szCs w:val="6"/>
        </w:rPr>
        <w:drawing>
          <wp:inline distT="0" distB="0" distL="0" distR="0" wp14:anchorId="24396C79" wp14:editId="4A0318DA">
            <wp:extent cx="5188944" cy="2732183"/>
            <wp:effectExtent l="0" t="0" r="12065" b="11430"/>
            <wp:docPr id="3" name="תרשים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5815" w:rsidRDefault="00895815" w:rsidP="00390F3B">
      <w:pPr>
        <w:tabs>
          <w:tab w:val="left" w:pos="9530"/>
        </w:tabs>
        <w:spacing w:after="0" w:line="240" w:lineRule="auto"/>
        <w:rPr>
          <w:rFonts w:ascii="Gisha" w:hAnsi="Gisha" w:cs="Gisha"/>
          <w:sz w:val="16"/>
          <w:szCs w:val="16"/>
          <w:rtl/>
        </w:rPr>
      </w:pPr>
    </w:p>
    <w:p w:rsidR="008364A6" w:rsidRPr="0032397F" w:rsidRDefault="008364A6" w:rsidP="00390F3B">
      <w:pPr>
        <w:tabs>
          <w:tab w:val="left" w:pos="9530"/>
        </w:tabs>
        <w:spacing w:after="0" w:line="240" w:lineRule="auto"/>
        <w:rPr>
          <w:rFonts w:ascii="Gisha" w:hAnsi="Gisha" w:cs="Gisha"/>
          <w:i/>
          <w:iCs/>
          <w:sz w:val="16"/>
          <w:szCs w:val="16"/>
          <w:rtl/>
        </w:rPr>
      </w:pPr>
      <w:r w:rsidRPr="00724A6A">
        <w:rPr>
          <w:rFonts w:ascii="Gisha" w:hAnsi="Gisha" w:cs="Gisha"/>
          <w:sz w:val="16"/>
          <w:szCs w:val="16"/>
          <w:rtl/>
        </w:rPr>
        <w:t xml:space="preserve">מקור: </w:t>
      </w:r>
      <w:r w:rsidRPr="009F6721">
        <w:rPr>
          <w:rFonts w:ascii="Gisha" w:hAnsi="Gisha" w:cs="Gisha"/>
          <w:sz w:val="16"/>
          <w:szCs w:val="16"/>
          <w:rtl/>
        </w:rPr>
        <w:t>למ"ס</w:t>
      </w:r>
      <w:r w:rsidRPr="00746102">
        <w:rPr>
          <w:rFonts w:ascii="Gisha" w:hAnsi="Gisha" w:cs="Gisha"/>
          <w:i/>
          <w:iCs/>
          <w:sz w:val="16"/>
          <w:szCs w:val="16"/>
          <w:rtl/>
        </w:rPr>
        <w:t>.</w:t>
      </w:r>
      <w:r w:rsidRPr="00724A6A">
        <w:rPr>
          <w:rFonts w:ascii="Gisha" w:hAnsi="Gisha" w:cs="Gisha"/>
          <w:sz w:val="16"/>
          <w:szCs w:val="16"/>
          <w:rtl/>
        </w:rPr>
        <w:t xml:space="preserve"> </w:t>
      </w:r>
      <w:r w:rsidRPr="00724A6A">
        <w:rPr>
          <w:rFonts w:ascii="Gisha" w:hAnsi="Gisha" w:cs="Gisha"/>
          <w:i/>
          <w:iCs/>
          <w:sz w:val="16"/>
          <w:szCs w:val="16"/>
          <w:rtl/>
        </w:rPr>
        <w:t>שנתון סטטיסטי</w:t>
      </w:r>
      <w:r w:rsidR="00960926">
        <w:rPr>
          <w:rFonts w:ascii="Gisha" w:hAnsi="Gisha" w:cs="Gisha" w:hint="cs"/>
          <w:i/>
          <w:iCs/>
          <w:sz w:val="16"/>
          <w:szCs w:val="16"/>
          <w:rtl/>
        </w:rPr>
        <w:t xml:space="preserve"> לישראל</w:t>
      </w:r>
      <w:r>
        <w:rPr>
          <w:rFonts w:ascii="Gisha" w:hAnsi="Gisha" w:cs="Gisha" w:hint="cs"/>
          <w:i/>
          <w:iCs/>
          <w:sz w:val="16"/>
          <w:szCs w:val="16"/>
          <w:rtl/>
        </w:rPr>
        <w:t xml:space="preserve"> 2016</w:t>
      </w:r>
      <w:r w:rsidRPr="00724A6A">
        <w:rPr>
          <w:rFonts w:ascii="Gisha" w:hAnsi="Gisha" w:cs="Gisha"/>
          <w:i/>
          <w:iCs/>
          <w:sz w:val="16"/>
          <w:szCs w:val="16"/>
          <w:rtl/>
        </w:rPr>
        <w:t>.</w:t>
      </w:r>
    </w:p>
    <w:p w:rsidR="008364A6" w:rsidRPr="007F407F" w:rsidRDefault="008364A6" w:rsidP="008364A6">
      <w:pPr>
        <w:spacing w:before="120" w:after="120" w:line="360" w:lineRule="auto"/>
        <w:jc w:val="both"/>
        <w:rPr>
          <w:rFonts w:ascii="Gisha" w:hAnsi="Gisha" w:cs="Gisha"/>
          <w:b/>
          <w:bCs/>
          <w:sz w:val="28"/>
          <w:szCs w:val="28"/>
          <w:rtl/>
        </w:rPr>
      </w:pPr>
      <w:r w:rsidRPr="007F407F">
        <w:rPr>
          <w:rFonts w:ascii="Gisha" w:hAnsi="Gisha" w:cs="Gisha"/>
          <w:b/>
          <w:bCs/>
          <w:sz w:val="28"/>
          <w:szCs w:val="28"/>
          <w:rtl/>
        </w:rPr>
        <w:lastRenderedPageBreak/>
        <w:t xml:space="preserve">תמותה </w:t>
      </w:r>
    </w:p>
    <w:p w:rsidR="008364A6" w:rsidRPr="00BD1D79" w:rsidRDefault="008364A6" w:rsidP="008364A6">
      <w:pPr>
        <w:spacing w:before="120" w:after="120" w:line="360" w:lineRule="auto"/>
        <w:jc w:val="both"/>
        <w:rPr>
          <w:rFonts w:ascii="Gisha" w:hAnsi="Gisha" w:cs="Gisha"/>
          <w:b/>
          <w:bCs/>
          <w:sz w:val="22"/>
          <w:szCs w:val="22"/>
          <w:rtl/>
        </w:rPr>
      </w:pPr>
      <w:r w:rsidRPr="00BD1D79">
        <w:rPr>
          <w:rFonts w:ascii="Gisha" w:hAnsi="Gisha" w:cs="Gisha"/>
          <w:b/>
          <w:bCs/>
          <w:sz w:val="22"/>
          <w:szCs w:val="22"/>
          <w:rtl/>
        </w:rPr>
        <w:t>תמותה כללית</w:t>
      </w:r>
    </w:p>
    <w:p w:rsidR="008364A6" w:rsidRDefault="008364A6" w:rsidP="009F6721">
      <w:pPr>
        <w:spacing w:before="120" w:after="120" w:line="360" w:lineRule="auto"/>
        <w:jc w:val="both"/>
        <w:rPr>
          <w:rFonts w:ascii="Gisha" w:hAnsi="Gisha" w:cs="Gisha"/>
          <w:b/>
          <w:bCs/>
          <w:sz w:val="22"/>
          <w:szCs w:val="22"/>
          <w:rtl/>
        </w:rPr>
      </w:pPr>
      <w:r w:rsidRPr="00BD1D79">
        <w:rPr>
          <w:rFonts w:ascii="Gisha" w:hAnsi="Gisha" w:cs="Gisha"/>
          <w:sz w:val="22"/>
          <w:szCs w:val="22"/>
          <w:rtl/>
        </w:rPr>
        <w:t xml:space="preserve">שיעורי תמותה כללית </w:t>
      </w:r>
      <w:r w:rsidR="00EC3D57" w:rsidRPr="00BD1D79">
        <w:rPr>
          <w:rFonts w:ascii="Gisha" w:hAnsi="Gisha" w:cs="Gisha"/>
          <w:sz w:val="22"/>
          <w:szCs w:val="22"/>
          <w:rtl/>
        </w:rPr>
        <w:t>ל- 1,000 תושבים</w:t>
      </w:r>
      <w:r w:rsidR="009F6721">
        <w:rPr>
          <w:rFonts w:ascii="Gisha" w:hAnsi="Gisha" w:cs="Gisha" w:hint="cs"/>
          <w:sz w:val="22"/>
          <w:szCs w:val="22"/>
          <w:rtl/>
        </w:rPr>
        <w:t xml:space="preserve"> (</w:t>
      </w:r>
      <w:r w:rsidRPr="00BD1D79">
        <w:rPr>
          <w:rFonts w:ascii="Gisha" w:hAnsi="Gisha" w:cs="Gisha"/>
          <w:sz w:val="22"/>
          <w:szCs w:val="22"/>
          <w:rtl/>
        </w:rPr>
        <w:t>מתוקננים לגיל</w:t>
      </w:r>
      <w:r w:rsidR="009F6721">
        <w:rPr>
          <w:rFonts w:ascii="Gisha" w:hAnsi="Gisha" w:cs="Gisha" w:hint="cs"/>
          <w:sz w:val="22"/>
          <w:szCs w:val="22"/>
          <w:rtl/>
        </w:rPr>
        <w:t>),</w:t>
      </w:r>
      <w:r w:rsidRPr="00BD1D79">
        <w:rPr>
          <w:rFonts w:ascii="Gisha" w:hAnsi="Gisha" w:cs="Gisha"/>
          <w:sz w:val="22"/>
          <w:szCs w:val="22"/>
          <w:rtl/>
        </w:rPr>
        <w:t xml:space="preserve"> </w:t>
      </w:r>
      <w:r w:rsidRPr="00385E92">
        <w:rPr>
          <w:rFonts w:ascii="Gisha" w:hAnsi="Gisha" w:cs="Gisha"/>
          <w:sz w:val="22"/>
          <w:szCs w:val="22"/>
          <w:rtl/>
        </w:rPr>
        <w:t>בשנת 201</w:t>
      </w:r>
      <w:r w:rsidRPr="00385E92">
        <w:rPr>
          <w:rFonts w:ascii="Gisha" w:hAnsi="Gisha" w:cs="Gisha" w:hint="cs"/>
          <w:sz w:val="22"/>
          <w:szCs w:val="22"/>
          <w:rtl/>
        </w:rPr>
        <w:t>4</w:t>
      </w:r>
      <w:r w:rsidR="009F6721">
        <w:rPr>
          <w:rFonts w:ascii="Gisha" w:hAnsi="Gisha" w:cs="Gisha" w:hint="cs"/>
          <w:sz w:val="22"/>
          <w:szCs w:val="22"/>
          <w:rtl/>
        </w:rPr>
        <w:t>,</w:t>
      </w:r>
      <w:r w:rsidRPr="00385E92">
        <w:rPr>
          <w:rFonts w:ascii="Gisha" w:hAnsi="Gisha" w:cs="Gisha"/>
          <w:sz w:val="22"/>
          <w:szCs w:val="22"/>
          <w:rtl/>
        </w:rPr>
        <w:t xml:space="preserve"> </w:t>
      </w:r>
      <w:r w:rsidR="00EC3D57">
        <w:rPr>
          <w:rFonts w:ascii="Gisha" w:hAnsi="Gisha" w:cs="Gisha" w:hint="cs"/>
          <w:sz w:val="22"/>
          <w:szCs w:val="22"/>
          <w:rtl/>
        </w:rPr>
        <w:t>עמדו על</w:t>
      </w:r>
      <w:r w:rsidRPr="00BD1D79">
        <w:rPr>
          <w:rFonts w:ascii="Gisha" w:hAnsi="Gisha" w:cs="Gisha"/>
          <w:sz w:val="22"/>
          <w:szCs w:val="22"/>
          <w:rtl/>
        </w:rPr>
        <w:t xml:space="preserve"> 5.7 בקרב גברים, ו- 4.</w:t>
      </w:r>
      <w:r>
        <w:rPr>
          <w:rFonts w:ascii="Gisha" w:hAnsi="Gisha" w:cs="Gisha" w:hint="cs"/>
          <w:sz w:val="22"/>
          <w:szCs w:val="22"/>
          <w:rtl/>
        </w:rPr>
        <w:t>2</w:t>
      </w:r>
      <w:r w:rsidRPr="00BD1D79">
        <w:rPr>
          <w:rFonts w:ascii="Gisha" w:hAnsi="Gisha" w:cs="Gisha"/>
          <w:sz w:val="22"/>
          <w:szCs w:val="22"/>
          <w:rtl/>
        </w:rPr>
        <w:t xml:space="preserve"> בקרב נשים</w:t>
      </w:r>
      <w:r>
        <w:rPr>
          <w:rStyle w:val="a5"/>
          <w:rFonts w:ascii="Gisha" w:hAnsi="Gisha" w:cs="Gisha"/>
          <w:sz w:val="22"/>
          <w:szCs w:val="22"/>
          <w:rtl/>
        </w:rPr>
        <w:footnoteReference w:id="4"/>
      </w:r>
      <w:r w:rsidRPr="00BD1D79">
        <w:rPr>
          <w:rFonts w:ascii="Gisha" w:hAnsi="Gisha" w:cs="Gisha"/>
          <w:sz w:val="22"/>
          <w:szCs w:val="22"/>
          <w:rtl/>
        </w:rPr>
        <w:t>. בפילוח לפי קבוצת אוכלוסייה</w:t>
      </w:r>
      <w:r>
        <w:rPr>
          <w:rFonts w:ascii="Gisha" w:hAnsi="Gisha" w:cs="Gisha" w:hint="cs"/>
          <w:sz w:val="22"/>
          <w:szCs w:val="22"/>
          <w:rtl/>
        </w:rPr>
        <w:t>,</w:t>
      </w:r>
      <w:r w:rsidRPr="00BD1D79">
        <w:rPr>
          <w:rFonts w:ascii="Gisha" w:hAnsi="Gisha" w:cs="Gisha"/>
          <w:sz w:val="22"/>
          <w:szCs w:val="22"/>
          <w:rtl/>
        </w:rPr>
        <w:t xml:space="preserve"> נמצא כי בשנה זו שיעור התמותה המתוקנן בקרב גברים יהודיים ואחרים בכלל הגילאים עמד על 5.</w:t>
      </w:r>
      <w:r>
        <w:rPr>
          <w:rFonts w:ascii="Gisha" w:hAnsi="Gisha" w:cs="Gisha" w:hint="cs"/>
          <w:sz w:val="22"/>
          <w:szCs w:val="22"/>
          <w:rtl/>
        </w:rPr>
        <w:t>5</w:t>
      </w:r>
      <w:r w:rsidR="00A865CB">
        <w:rPr>
          <w:rFonts w:ascii="Gisha" w:hAnsi="Gisha" w:cs="Gisha" w:hint="cs"/>
          <w:sz w:val="22"/>
          <w:szCs w:val="22"/>
          <w:rtl/>
        </w:rPr>
        <w:t>,</w:t>
      </w:r>
      <w:r w:rsidRPr="00BD1D79">
        <w:rPr>
          <w:rFonts w:ascii="Gisha" w:hAnsi="Gisha" w:cs="Gisha"/>
          <w:sz w:val="22"/>
          <w:szCs w:val="22"/>
          <w:rtl/>
        </w:rPr>
        <w:t xml:space="preserve"> ובקרב נשים יהודיות ואחרות על 4.</w:t>
      </w:r>
      <w:r>
        <w:rPr>
          <w:rFonts w:ascii="Gisha" w:hAnsi="Gisha" w:cs="Gisha" w:hint="cs"/>
          <w:sz w:val="22"/>
          <w:szCs w:val="22"/>
          <w:rtl/>
        </w:rPr>
        <w:t>0</w:t>
      </w:r>
      <w:r w:rsidRPr="00BD1D79">
        <w:rPr>
          <w:rFonts w:ascii="Gisha" w:hAnsi="Gisha" w:cs="Gisha"/>
          <w:sz w:val="22"/>
          <w:szCs w:val="22"/>
          <w:rtl/>
        </w:rPr>
        <w:t xml:space="preserve">. בקרב האוכלוסייה הערבית באותה השנה שיעור התמותה הסתכם ב- </w:t>
      </w:r>
      <w:r>
        <w:rPr>
          <w:rFonts w:ascii="Gisha" w:hAnsi="Gisha" w:cs="Gisha" w:hint="cs"/>
          <w:sz w:val="22"/>
          <w:szCs w:val="22"/>
          <w:rtl/>
        </w:rPr>
        <w:t>7.5</w:t>
      </w:r>
      <w:r w:rsidRPr="00BD1D79">
        <w:rPr>
          <w:rFonts w:ascii="Gisha" w:hAnsi="Gisha" w:cs="Gisha"/>
          <w:sz w:val="22"/>
          <w:szCs w:val="22"/>
          <w:rtl/>
        </w:rPr>
        <w:t xml:space="preserve"> בקרב גברים ו</w:t>
      </w:r>
      <w:r w:rsidRPr="00B83904">
        <w:rPr>
          <w:rFonts w:ascii="Gisha" w:hAnsi="Gisha" w:cs="Gisha"/>
          <w:sz w:val="22"/>
          <w:szCs w:val="22"/>
          <w:rtl/>
        </w:rPr>
        <w:t>- 5.</w:t>
      </w:r>
      <w:r w:rsidRPr="00B83904">
        <w:rPr>
          <w:rFonts w:ascii="Gisha" w:hAnsi="Gisha" w:cs="Gisha" w:hint="cs"/>
          <w:sz w:val="22"/>
          <w:szCs w:val="22"/>
          <w:rtl/>
        </w:rPr>
        <w:t>3</w:t>
      </w:r>
      <w:r w:rsidRPr="00BD1D79">
        <w:rPr>
          <w:rFonts w:ascii="Gisha" w:hAnsi="Gisha" w:cs="Gisha"/>
          <w:sz w:val="22"/>
          <w:szCs w:val="22"/>
          <w:rtl/>
        </w:rPr>
        <w:t xml:space="preserve"> בקרב נשים. </w:t>
      </w:r>
    </w:p>
    <w:p w:rsidR="00593803" w:rsidRDefault="00593803" w:rsidP="00EC3D57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 w:rsidRPr="00AB6CB8">
        <w:rPr>
          <w:rFonts w:ascii="Gisha" w:hAnsi="Gisha" w:cs="Gisha" w:hint="cs"/>
          <w:sz w:val="22"/>
          <w:szCs w:val="22"/>
          <w:rtl/>
        </w:rPr>
        <w:t xml:space="preserve">בפילוח </w:t>
      </w:r>
      <w:r w:rsidR="008B50E3">
        <w:rPr>
          <w:rFonts w:ascii="Gisha" w:hAnsi="Gisha" w:cs="Gisha" w:hint="cs"/>
          <w:sz w:val="22"/>
          <w:szCs w:val="22"/>
          <w:rtl/>
        </w:rPr>
        <w:t>ע</w:t>
      </w:r>
      <w:r w:rsidRPr="00AB6CB8">
        <w:rPr>
          <w:rFonts w:ascii="Gisha" w:hAnsi="Gisha" w:cs="Gisha" w:hint="cs"/>
          <w:sz w:val="22"/>
          <w:szCs w:val="22"/>
          <w:rtl/>
        </w:rPr>
        <w:t>ל</w:t>
      </w:r>
      <w:r w:rsidR="008B50E3">
        <w:rPr>
          <w:rFonts w:ascii="Gisha" w:hAnsi="Gisha" w:cs="Gisha" w:hint="cs"/>
          <w:sz w:val="22"/>
          <w:szCs w:val="22"/>
          <w:rtl/>
        </w:rPr>
        <w:t xml:space="preserve"> </w:t>
      </w:r>
      <w:r w:rsidRPr="00AB6CB8">
        <w:rPr>
          <w:rFonts w:ascii="Gisha" w:hAnsi="Gisha" w:cs="Gisha" w:hint="cs"/>
          <w:sz w:val="22"/>
          <w:szCs w:val="22"/>
          <w:rtl/>
        </w:rPr>
        <w:t xml:space="preserve">פי נפות, נמצא כי שיעורי </w:t>
      </w:r>
      <w:r w:rsidR="00EC3D57">
        <w:rPr>
          <w:rFonts w:ascii="Gisha" w:hAnsi="Gisha" w:cs="Gisha" w:hint="cs"/>
          <w:sz w:val="22"/>
          <w:szCs w:val="22"/>
          <w:rtl/>
        </w:rPr>
        <w:t>ה</w:t>
      </w:r>
      <w:r w:rsidRPr="00AB6CB8">
        <w:rPr>
          <w:rFonts w:ascii="Gisha" w:hAnsi="Gisha" w:cs="Gisha" w:hint="cs"/>
          <w:sz w:val="22"/>
          <w:szCs w:val="22"/>
          <w:rtl/>
        </w:rPr>
        <w:t xml:space="preserve">תמותה </w:t>
      </w:r>
      <w:r w:rsidR="00EC3D57">
        <w:rPr>
          <w:rFonts w:ascii="Gisha" w:hAnsi="Gisha" w:cs="Gisha" w:hint="cs"/>
          <w:sz w:val="22"/>
          <w:szCs w:val="22"/>
          <w:rtl/>
        </w:rPr>
        <w:t>ה</w:t>
      </w:r>
      <w:r w:rsidRPr="00AB6CB8">
        <w:rPr>
          <w:rFonts w:ascii="Gisha" w:hAnsi="Gisha" w:cs="Gisha" w:hint="cs"/>
          <w:sz w:val="22"/>
          <w:szCs w:val="22"/>
          <w:rtl/>
        </w:rPr>
        <w:t xml:space="preserve">מתוקננים </w:t>
      </w:r>
      <w:r w:rsidR="00EC3D57">
        <w:rPr>
          <w:rFonts w:ascii="Gisha" w:hAnsi="Gisha" w:cs="Gisha" w:hint="cs"/>
          <w:sz w:val="22"/>
          <w:szCs w:val="22"/>
          <w:rtl/>
        </w:rPr>
        <w:t>ה</w:t>
      </w:r>
      <w:r w:rsidRPr="00AB6CB8">
        <w:rPr>
          <w:rFonts w:ascii="Gisha" w:hAnsi="Gisha" w:cs="Gisha" w:hint="cs"/>
          <w:sz w:val="22"/>
          <w:szCs w:val="22"/>
          <w:rtl/>
        </w:rPr>
        <w:t xml:space="preserve">גבוהים ביותר נרשמו בשנה זו בנפות באר שבע </w:t>
      </w:r>
      <w:r w:rsidR="00EC3D57">
        <w:rPr>
          <w:rFonts w:ascii="Gisha" w:hAnsi="Gisha" w:cs="Gisha" w:hint="cs"/>
          <w:sz w:val="22"/>
          <w:szCs w:val="22"/>
          <w:rtl/>
        </w:rPr>
        <w:t>ויז</w:t>
      </w:r>
      <w:r w:rsidR="00EC3D57" w:rsidRPr="00AB6CB8">
        <w:rPr>
          <w:rFonts w:ascii="Gisha" w:hAnsi="Gisha" w:cs="Gisha" w:hint="cs"/>
          <w:sz w:val="22"/>
          <w:szCs w:val="22"/>
          <w:rtl/>
        </w:rPr>
        <w:t>ר</w:t>
      </w:r>
      <w:r w:rsidR="00EC3D57">
        <w:rPr>
          <w:rFonts w:ascii="Gisha" w:hAnsi="Gisha" w:cs="Gisha" w:hint="cs"/>
          <w:sz w:val="22"/>
          <w:szCs w:val="22"/>
          <w:rtl/>
        </w:rPr>
        <w:t>עא</w:t>
      </w:r>
      <w:r w:rsidR="00EC3D57" w:rsidRPr="00AB6CB8">
        <w:rPr>
          <w:rFonts w:ascii="Gisha" w:hAnsi="Gisha" w:cs="Gisha" w:hint="cs"/>
          <w:sz w:val="22"/>
          <w:szCs w:val="22"/>
          <w:rtl/>
        </w:rPr>
        <w:t>ל</w:t>
      </w:r>
      <w:r w:rsidRPr="00AB6CB8">
        <w:rPr>
          <w:rFonts w:ascii="Gisha" w:hAnsi="Gisha" w:cs="Gisha" w:hint="cs"/>
          <w:sz w:val="22"/>
          <w:szCs w:val="22"/>
          <w:rtl/>
        </w:rPr>
        <w:t xml:space="preserve">, </w:t>
      </w:r>
      <w:r w:rsidR="00AB6CB8" w:rsidRPr="00AB6CB8">
        <w:rPr>
          <w:rFonts w:ascii="Gisha" w:hAnsi="Gisha" w:cs="Gisha" w:hint="cs"/>
          <w:sz w:val="22"/>
          <w:szCs w:val="22"/>
          <w:rtl/>
        </w:rPr>
        <w:t>והנמוכים בנפת פתח תקווה ו</w:t>
      </w:r>
      <w:r w:rsidR="00ED3F07">
        <w:rPr>
          <w:rFonts w:ascii="Gisha" w:hAnsi="Gisha" w:cs="Gisha" w:hint="cs"/>
          <w:sz w:val="22"/>
          <w:szCs w:val="22"/>
          <w:rtl/>
        </w:rPr>
        <w:t>ב</w:t>
      </w:r>
      <w:r w:rsidR="00AB6CB8" w:rsidRPr="00AB6CB8">
        <w:rPr>
          <w:rFonts w:ascii="Gisha" w:hAnsi="Gisha" w:cs="Gisha" w:hint="cs"/>
          <w:sz w:val="22"/>
          <w:szCs w:val="22"/>
          <w:rtl/>
        </w:rPr>
        <w:t>אזור יהודה ושומרון.</w:t>
      </w:r>
    </w:p>
    <w:p w:rsidR="008364A6" w:rsidRDefault="00DE29DA" w:rsidP="00DE29DA">
      <w:pPr>
        <w:spacing w:before="120" w:after="120" w:line="36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>
        <w:rPr>
          <w:rFonts w:ascii="Gisha" w:hAnsi="Gisha" w:cs="Gisha" w:hint="cs"/>
          <w:b/>
          <w:bCs/>
          <w:sz w:val="22"/>
          <w:szCs w:val="22"/>
          <w:rtl/>
        </w:rPr>
        <w:t xml:space="preserve">תרשים 2. </w:t>
      </w:r>
      <w:r w:rsidR="008364A6" w:rsidRPr="00DE29DA">
        <w:rPr>
          <w:rFonts w:ascii="Gisha" w:hAnsi="Gisha" w:cs="Gisha" w:hint="cs"/>
          <w:b/>
          <w:bCs/>
          <w:sz w:val="22"/>
          <w:szCs w:val="22"/>
          <w:rtl/>
        </w:rPr>
        <w:t xml:space="preserve">שיעורי תמותה </w:t>
      </w:r>
      <w:r>
        <w:rPr>
          <w:rFonts w:ascii="Gisha" w:hAnsi="Gisha" w:cs="Gisha" w:hint="cs"/>
          <w:b/>
          <w:bCs/>
          <w:sz w:val="22"/>
          <w:szCs w:val="22"/>
          <w:rtl/>
        </w:rPr>
        <w:t xml:space="preserve">כללית </w:t>
      </w:r>
      <w:r w:rsidR="008364A6" w:rsidRPr="00DE29DA">
        <w:rPr>
          <w:rFonts w:ascii="Gisha" w:hAnsi="Gisha" w:cs="Gisha" w:hint="cs"/>
          <w:b/>
          <w:bCs/>
          <w:sz w:val="22"/>
          <w:szCs w:val="22"/>
          <w:rtl/>
        </w:rPr>
        <w:t>מתוקננים לפי נפה</w:t>
      </w:r>
      <w:r>
        <w:rPr>
          <w:rFonts w:ascii="Gisha" w:hAnsi="Gisha" w:cs="Gisha" w:hint="cs"/>
          <w:b/>
          <w:bCs/>
          <w:sz w:val="22"/>
          <w:szCs w:val="22"/>
          <w:rtl/>
        </w:rPr>
        <w:t>, 2015</w:t>
      </w:r>
    </w:p>
    <w:p w:rsidR="00446237" w:rsidRDefault="00487129" w:rsidP="00DE29DA">
      <w:pPr>
        <w:spacing w:before="120" w:after="120" w:line="36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>
        <w:rPr>
          <w:noProof/>
        </w:rPr>
        <w:drawing>
          <wp:inline distT="0" distB="0" distL="0" distR="0" wp14:anchorId="646A15BF" wp14:editId="54D12444">
            <wp:extent cx="4998720" cy="5113020"/>
            <wp:effectExtent l="0" t="0" r="11430" b="11430"/>
            <wp:docPr id="4" name="תרשים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4B70" w:rsidRDefault="00487129" w:rsidP="00487129">
      <w:pPr>
        <w:spacing w:after="0" w:line="240" w:lineRule="auto"/>
        <w:jc w:val="both"/>
        <w:rPr>
          <w:rFonts w:ascii="Gisha" w:hAnsi="Gisha" w:cs="Gisha"/>
          <w:sz w:val="16"/>
          <w:szCs w:val="16"/>
          <w:rtl/>
        </w:rPr>
      </w:pPr>
      <w:r>
        <w:rPr>
          <w:rFonts w:ascii="Gisha" w:hAnsi="Gisha" w:cs="Gisha" w:hint="cs"/>
          <w:sz w:val="16"/>
          <w:szCs w:val="16"/>
          <w:rtl/>
        </w:rPr>
        <w:t xml:space="preserve">            *ישובים ישראליים</w:t>
      </w:r>
      <w:r w:rsidR="00A64B70" w:rsidRPr="00A64B70">
        <w:rPr>
          <w:rFonts w:ascii="Gisha" w:hAnsi="Gisha" w:cs="Gisha" w:hint="cs"/>
          <w:sz w:val="16"/>
          <w:szCs w:val="16"/>
          <w:rtl/>
        </w:rPr>
        <w:t xml:space="preserve"> בלבד</w:t>
      </w:r>
    </w:p>
    <w:p w:rsidR="00487129" w:rsidRPr="00A64B70" w:rsidRDefault="00487129" w:rsidP="00487129">
      <w:pPr>
        <w:spacing w:after="0" w:line="240" w:lineRule="auto"/>
        <w:jc w:val="both"/>
        <w:rPr>
          <w:rFonts w:ascii="Gisha" w:hAnsi="Gisha" w:cs="Gisha"/>
          <w:sz w:val="16"/>
          <w:szCs w:val="16"/>
          <w:rtl/>
        </w:rPr>
      </w:pPr>
      <w:r>
        <w:rPr>
          <w:rFonts w:ascii="Gisha" w:hAnsi="Gisha" w:cs="Gisha" w:hint="cs"/>
          <w:sz w:val="16"/>
          <w:szCs w:val="16"/>
          <w:rtl/>
        </w:rPr>
        <w:t xml:space="preserve">            מקור:</w:t>
      </w:r>
      <w:r w:rsidR="009F6721">
        <w:rPr>
          <w:rFonts w:ascii="Gisha" w:hAnsi="Gisha" w:cs="Gisha" w:hint="cs"/>
          <w:sz w:val="16"/>
          <w:szCs w:val="16"/>
          <w:rtl/>
        </w:rPr>
        <w:t xml:space="preserve"> למ"ס. </w:t>
      </w:r>
      <w:r>
        <w:rPr>
          <w:rFonts w:ascii="Gisha" w:hAnsi="Gisha" w:cs="Gisha" w:hint="cs"/>
          <w:sz w:val="16"/>
          <w:szCs w:val="16"/>
          <w:rtl/>
        </w:rPr>
        <w:t xml:space="preserve"> </w:t>
      </w:r>
      <w:r w:rsidRPr="00487129">
        <w:rPr>
          <w:rFonts w:ascii="Gisha" w:hAnsi="Gisha" w:cs="Gisha" w:hint="cs"/>
          <w:i/>
          <w:iCs/>
          <w:sz w:val="16"/>
          <w:szCs w:val="16"/>
          <w:rtl/>
        </w:rPr>
        <w:t>שנתון סטטיסטי לישראל</w:t>
      </w:r>
      <w:r>
        <w:rPr>
          <w:rFonts w:ascii="Gisha" w:hAnsi="Gisha" w:cs="Gisha" w:hint="cs"/>
          <w:sz w:val="16"/>
          <w:szCs w:val="16"/>
          <w:rtl/>
        </w:rPr>
        <w:t>, 2016.</w:t>
      </w:r>
    </w:p>
    <w:p w:rsidR="00670052" w:rsidRDefault="00670052" w:rsidP="008B50E3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>
        <w:rPr>
          <w:rFonts w:ascii="Gisha" w:hAnsi="Gisha" w:cs="Gisha" w:hint="cs"/>
          <w:sz w:val="22"/>
          <w:szCs w:val="22"/>
          <w:rtl/>
        </w:rPr>
        <w:lastRenderedPageBreak/>
        <w:t xml:space="preserve">תרשים </w:t>
      </w:r>
      <w:r w:rsidR="00A8283A">
        <w:rPr>
          <w:rFonts w:ascii="Gisha" w:hAnsi="Gisha" w:cs="Gisha" w:hint="cs"/>
          <w:sz w:val="22"/>
          <w:szCs w:val="22"/>
          <w:rtl/>
        </w:rPr>
        <w:t>3</w:t>
      </w:r>
      <w:r>
        <w:rPr>
          <w:rFonts w:ascii="Gisha" w:hAnsi="Gisha" w:cs="Gisha" w:hint="cs"/>
          <w:sz w:val="22"/>
          <w:szCs w:val="22"/>
          <w:rtl/>
        </w:rPr>
        <w:t xml:space="preserve"> מציג </w:t>
      </w:r>
      <w:r w:rsidR="006646FE">
        <w:rPr>
          <w:rFonts w:ascii="Gisha" w:hAnsi="Gisha" w:cs="Gisha" w:hint="cs"/>
          <w:sz w:val="22"/>
          <w:szCs w:val="22"/>
          <w:rtl/>
        </w:rPr>
        <w:t xml:space="preserve">שיעורי תמותה </w:t>
      </w:r>
      <w:r w:rsidR="006646FE" w:rsidRPr="002F14BF">
        <w:rPr>
          <w:rFonts w:ascii="Gisha" w:hAnsi="Gisha" w:cs="Gisha" w:hint="cs"/>
          <w:sz w:val="22"/>
          <w:szCs w:val="22"/>
          <w:rtl/>
        </w:rPr>
        <w:t>ממוצעים תלת</w:t>
      </w:r>
      <w:r w:rsidR="006646FE" w:rsidRPr="002F14BF">
        <w:rPr>
          <w:rFonts w:ascii="Gisha" w:hAnsi="Gisha" w:cs="Gisha"/>
          <w:sz w:val="22"/>
          <w:szCs w:val="22"/>
          <w:rtl/>
        </w:rPr>
        <w:t>-שנתיים</w:t>
      </w:r>
      <w:r w:rsidR="006646FE" w:rsidRPr="002F14BF">
        <w:rPr>
          <w:rFonts w:ascii="Gisha" w:hAnsi="Gisha" w:cs="Gisha" w:hint="cs"/>
          <w:sz w:val="22"/>
          <w:szCs w:val="22"/>
          <w:rtl/>
        </w:rPr>
        <w:t xml:space="preserve"> בקרב</w:t>
      </w:r>
      <w:r w:rsidR="006646FE">
        <w:rPr>
          <w:rFonts w:ascii="Gisha" w:hAnsi="Gisha" w:cs="Gisha" w:hint="cs"/>
          <w:sz w:val="22"/>
          <w:szCs w:val="22"/>
          <w:rtl/>
        </w:rPr>
        <w:t xml:space="preserve"> </w:t>
      </w:r>
      <w:r w:rsidR="00EC3D57">
        <w:rPr>
          <w:rFonts w:ascii="Gisha" w:hAnsi="Gisha" w:cs="Gisha" w:hint="cs"/>
          <w:sz w:val="22"/>
          <w:szCs w:val="22"/>
          <w:rtl/>
        </w:rPr>
        <w:t>ה</w:t>
      </w:r>
      <w:r w:rsidR="006646FE">
        <w:rPr>
          <w:rFonts w:ascii="Gisha" w:hAnsi="Gisha" w:cs="Gisha" w:hint="cs"/>
          <w:sz w:val="22"/>
          <w:szCs w:val="22"/>
          <w:rtl/>
        </w:rPr>
        <w:t xml:space="preserve">אוכלוסייה </w:t>
      </w:r>
      <w:r w:rsidR="00EC3D57">
        <w:rPr>
          <w:rFonts w:ascii="Gisha" w:hAnsi="Gisha" w:cs="Gisha" w:hint="cs"/>
          <w:sz w:val="22"/>
          <w:szCs w:val="22"/>
          <w:rtl/>
        </w:rPr>
        <w:t>ה</w:t>
      </w:r>
      <w:r w:rsidR="006646FE">
        <w:rPr>
          <w:rFonts w:ascii="Gisha" w:hAnsi="Gisha" w:cs="Gisha" w:hint="cs"/>
          <w:sz w:val="22"/>
          <w:szCs w:val="22"/>
          <w:rtl/>
        </w:rPr>
        <w:t xml:space="preserve">יהודית </w:t>
      </w:r>
      <w:r w:rsidR="00EC3D57">
        <w:rPr>
          <w:rFonts w:ascii="Gisha" w:hAnsi="Gisha" w:cs="Gisha" w:hint="cs"/>
          <w:sz w:val="22"/>
          <w:szCs w:val="22"/>
          <w:rtl/>
        </w:rPr>
        <w:t>ה</w:t>
      </w:r>
      <w:r w:rsidR="006646FE">
        <w:rPr>
          <w:rFonts w:ascii="Gisha" w:hAnsi="Gisha" w:cs="Gisha" w:hint="cs"/>
          <w:sz w:val="22"/>
          <w:szCs w:val="22"/>
          <w:rtl/>
        </w:rPr>
        <w:t>מבוגרת</w:t>
      </w:r>
      <w:r w:rsidR="00EC3D57">
        <w:rPr>
          <w:rFonts w:ascii="Gisha" w:hAnsi="Gisha" w:cs="Gisha" w:hint="cs"/>
          <w:sz w:val="22"/>
          <w:szCs w:val="22"/>
          <w:rtl/>
        </w:rPr>
        <w:t>,</w:t>
      </w:r>
      <w:r w:rsidR="006646FE">
        <w:rPr>
          <w:rFonts w:ascii="Gisha" w:hAnsi="Gisha" w:cs="Gisha" w:hint="cs"/>
          <w:sz w:val="22"/>
          <w:szCs w:val="22"/>
          <w:rtl/>
        </w:rPr>
        <w:t xml:space="preserve"> </w:t>
      </w:r>
      <w:r w:rsidR="002F14BF">
        <w:rPr>
          <w:rFonts w:ascii="Gisha" w:hAnsi="Gisha" w:cs="Gisha" w:hint="cs"/>
          <w:sz w:val="22"/>
          <w:szCs w:val="22"/>
          <w:rtl/>
        </w:rPr>
        <w:t>בשתי נקודות זמן</w:t>
      </w:r>
      <w:r w:rsidR="006646FE">
        <w:rPr>
          <w:rFonts w:ascii="Gisha" w:hAnsi="Gisha" w:cs="Gisha" w:hint="cs"/>
          <w:sz w:val="22"/>
          <w:szCs w:val="22"/>
          <w:rtl/>
        </w:rPr>
        <w:t xml:space="preserve">. </w:t>
      </w:r>
      <w:r w:rsidR="002F14BF">
        <w:rPr>
          <w:rFonts w:ascii="Gisha" w:hAnsi="Gisha" w:cs="Gisha" w:hint="cs"/>
          <w:sz w:val="22"/>
          <w:szCs w:val="22"/>
          <w:rtl/>
        </w:rPr>
        <w:t>בקרב גברים, הנתונים מצביעים על עלייה בתמותה ב</w:t>
      </w:r>
      <w:r w:rsidR="008B50E3">
        <w:rPr>
          <w:rFonts w:ascii="Gisha" w:hAnsi="Gisha" w:cs="Gisha" w:hint="cs"/>
          <w:sz w:val="22"/>
          <w:szCs w:val="22"/>
          <w:rtl/>
        </w:rPr>
        <w:t xml:space="preserve">קרב </w:t>
      </w:r>
      <w:r w:rsidR="002F14BF">
        <w:rPr>
          <w:rFonts w:ascii="Gisha" w:hAnsi="Gisha" w:cs="Gisha" w:hint="cs"/>
          <w:sz w:val="22"/>
          <w:szCs w:val="22"/>
          <w:rtl/>
        </w:rPr>
        <w:t xml:space="preserve">כלל האוכלוסייה, </w:t>
      </w:r>
      <w:r w:rsidR="008B50E3">
        <w:rPr>
          <w:rFonts w:ascii="Gisha" w:hAnsi="Gisha" w:cs="Gisha" w:hint="cs"/>
          <w:sz w:val="22"/>
          <w:szCs w:val="22"/>
          <w:rtl/>
        </w:rPr>
        <w:t>ה</w:t>
      </w:r>
      <w:r w:rsidR="002F14BF">
        <w:rPr>
          <w:rFonts w:ascii="Gisha" w:hAnsi="Gisha" w:cs="Gisha" w:hint="cs"/>
          <w:sz w:val="22"/>
          <w:szCs w:val="22"/>
          <w:rtl/>
        </w:rPr>
        <w:t xml:space="preserve">כוללת גם </w:t>
      </w:r>
      <w:r w:rsidR="008B50E3">
        <w:rPr>
          <w:rFonts w:ascii="Gisha" w:hAnsi="Gisha" w:cs="Gisha" w:hint="cs"/>
          <w:sz w:val="22"/>
          <w:szCs w:val="22"/>
          <w:rtl/>
        </w:rPr>
        <w:t xml:space="preserve">את </w:t>
      </w:r>
      <w:r w:rsidR="002F14BF">
        <w:rPr>
          <w:rFonts w:ascii="Gisha" w:hAnsi="Gisha" w:cs="Gisha" w:hint="cs"/>
          <w:sz w:val="22"/>
          <w:szCs w:val="22"/>
          <w:rtl/>
        </w:rPr>
        <w:t>ילידי ישראל, וספציפית בקרב עולי ברה''מ לשעבר ואירופה-אמריקה, ואילו בקרב ילידי אסיה ואפריקה נרשמה ירידה בתמותה בין שתי תקופות זמן.</w:t>
      </w:r>
      <w:r>
        <w:rPr>
          <w:rFonts w:ascii="Gisha" w:hAnsi="Gisha" w:cs="Gisha" w:hint="cs"/>
          <w:sz w:val="22"/>
          <w:szCs w:val="22"/>
          <w:rtl/>
        </w:rPr>
        <w:t xml:space="preserve"> </w:t>
      </w:r>
      <w:r w:rsidR="002F14BF">
        <w:rPr>
          <w:rFonts w:ascii="Gisha" w:hAnsi="Gisha" w:cs="Gisha" w:hint="cs"/>
          <w:sz w:val="22"/>
          <w:szCs w:val="22"/>
          <w:rtl/>
        </w:rPr>
        <w:t xml:space="preserve">בקרב </w:t>
      </w:r>
      <w:r>
        <w:rPr>
          <w:rFonts w:ascii="Gisha" w:hAnsi="Gisha" w:cs="Gisha" w:hint="cs"/>
          <w:sz w:val="22"/>
          <w:szCs w:val="22"/>
          <w:rtl/>
        </w:rPr>
        <w:t xml:space="preserve">גברים עולי ברה''מ </w:t>
      </w:r>
      <w:r w:rsidR="00FC1103">
        <w:rPr>
          <w:rFonts w:ascii="Gisha" w:hAnsi="Gisha" w:cs="Gisha" w:hint="cs"/>
          <w:sz w:val="22"/>
          <w:szCs w:val="22"/>
          <w:rtl/>
        </w:rPr>
        <w:t>לשעבר</w:t>
      </w:r>
      <w:r w:rsidR="00512AEA">
        <w:rPr>
          <w:rFonts w:ascii="Gisha" w:hAnsi="Gisha" w:cs="Gisha" w:hint="cs"/>
          <w:sz w:val="22"/>
          <w:szCs w:val="22"/>
          <w:rtl/>
        </w:rPr>
        <w:t>,</w:t>
      </w:r>
      <w:r w:rsidR="00FC1103">
        <w:rPr>
          <w:rFonts w:ascii="Gisha" w:hAnsi="Gisha" w:cs="Gisha" w:hint="cs"/>
          <w:sz w:val="22"/>
          <w:szCs w:val="22"/>
          <w:rtl/>
        </w:rPr>
        <w:t xml:space="preserve"> </w:t>
      </w:r>
      <w:r w:rsidR="002F14BF">
        <w:rPr>
          <w:rFonts w:ascii="Gisha" w:hAnsi="Gisha" w:cs="Gisha" w:hint="cs"/>
          <w:sz w:val="22"/>
          <w:szCs w:val="22"/>
          <w:rtl/>
        </w:rPr>
        <w:t xml:space="preserve">נרשם שיעור גבוה ביותר של תמותה ביחס לקבוצות אחרות. </w:t>
      </w:r>
      <w:r>
        <w:rPr>
          <w:rFonts w:ascii="Gisha" w:hAnsi="Gisha" w:cs="Gisha" w:hint="cs"/>
          <w:sz w:val="22"/>
          <w:szCs w:val="22"/>
          <w:rtl/>
        </w:rPr>
        <w:t xml:space="preserve">בקרב נשים </w:t>
      </w:r>
      <w:r w:rsidR="002C78F1">
        <w:rPr>
          <w:rFonts w:ascii="Gisha" w:hAnsi="Gisha" w:cs="Gisha" w:hint="cs"/>
          <w:sz w:val="22"/>
          <w:szCs w:val="22"/>
          <w:rtl/>
        </w:rPr>
        <w:t xml:space="preserve">נצפתה עלייה בשיעורים בכל הקבוצות, להוציא </w:t>
      </w:r>
      <w:r w:rsidR="00EC3D57">
        <w:rPr>
          <w:rFonts w:ascii="Gisha" w:hAnsi="Gisha" w:cs="Gisha" w:hint="cs"/>
          <w:sz w:val="22"/>
          <w:szCs w:val="22"/>
          <w:rtl/>
        </w:rPr>
        <w:t xml:space="preserve">את </w:t>
      </w:r>
      <w:r w:rsidR="002C78F1">
        <w:rPr>
          <w:rFonts w:ascii="Gisha" w:hAnsi="Gisha" w:cs="Gisha" w:hint="cs"/>
          <w:sz w:val="22"/>
          <w:szCs w:val="22"/>
          <w:rtl/>
        </w:rPr>
        <w:t>יליד</w:t>
      </w:r>
      <w:r w:rsidR="00EC3D57">
        <w:rPr>
          <w:rFonts w:ascii="Gisha" w:hAnsi="Gisha" w:cs="Gisha" w:hint="cs"/>
          <w:sz w:val="22"/>
          <w:szCs w:val="22"/>
          <w:rtl/>
        </w:rPr>
        <w:t>ות</w:t>
      </w:r>
      <w:r w:rsidR="002C78F1">
        <w:rPr>
          <w:rFonts w:ascii="Gisha" w:hAnsi="Gisha" w:cs="Gisha" w:hint="cs"/>
          <w:sz w:val="22"/>
          <w:szCs w:val="22"/>
          <w:rtl/>
        </w:rPr>
        <w:t xml:space="preserve"> אפריקה, </w:t>
      </w:r>
      <w:r w:rsidR="008B50E3">
        <w:rPr>
          <w:rFonts w:ascii="Gisha" w:hAnsi="Gisha" w:cs="Gisha" w:hint="cs"/>
          <w:sz w:val="22"/>
          <w:szCs w:val="22"/>
          <w:rtl/>
        </w:rPr>
        <w:t xml:space="preserve">אצלן </w:t>
      </w:r>
      <w:r w:rsidR="002C78F1">
        <w:rPr>
          <w:rFonts w:ascii="Gisha" w:hAnsi="Gisha" w:cs="Gisha" w:hint="cs"/>
          <w:sz w:val="22"/>
          <w:szCs w:val="22"/>
          <w:rtl/>
        </w:rPr>
        <w:t xml:space="preserve">נרשמה ירידה בתמותה </w:t>
      </w:r>
      <w:r w:rsidR="00EC3D57">
        <w:rPr>
          <w:rFonts w:ascii="Gisha" w:hAnsi="Gisha" w:cs="Gisha" w:hint="cs"/>
          <w:sz w:val="22"/>
          <w:szCs w:val="22"/>
          <w:rtl/>
        </w:rPr>
        <w:t>ב</w:t>
      </w:r>
      <w:r w:rsidR="006646FE">
        <w:rPr>
          <w:rFonts w:ascii="Gisha" w:hAnsi="Gisha" w:cs="Gisha" w:hint="cs"/>
          <w:sz w:val="22"/>
          <w:szCs w:val="22"/>
          <w:rtl/>
        </w:rPr>
        <w:t>שתי התקופות.</w:t>
      </w:r>
      <w:r w:rsidR="00684F28">
        <w:rPr>
          <w:rFonts w:ascii="Gisha" w:hAnsi="Gisha" w:cs="Gisha" w:hint="cs"/>
          <w:sz w:val="22"/>
          <w:szCs w:val="22"/>
          <w:rtl/>
        </w:rPr>
        <w:t xml:space="preserve"> </w:t>
      </w:r>
      <w:r w:rsidR="002C78F1">
        <w:rPr>
          <w:rFonts w:ascii="Gisha" w:hAnsi="Gisha" w:cs="Gisha" w:hint="cs"/>
          <w:sz w:val="22"/>
          <w:szCs w:val="22"/>
          <w:rtl/>
        </w:rPr>
        <w:t xml:space="preserve">העלייה המשמעותית </w:t>
      </w:r>
      <w:r w:rsidR="00EC3D57">
        <w:rPr>
          <w:rFonts w:ascii="Gisha" w:hAnsi="Gisha" w:cs="Gisha" w:hint="cs"/>
          <w:sz w:val="22"/>
          <w:szCs w:val="22"/>
          <w:rtl/>
        </w:rPr>
        <w:t xml:space="preserve">ביותר בתמותה </w:t>
      </w:r>
      <w:r w:rsidR="002C78F1">
        <w:rPr>
          <w:rFonts w:ascii="Gisha" w:hAnsi="Gisha" w:cs="Gisha" w:hint="cs"/>
          <w:sz w:val="22"/>
          <w:szCs w:val="22"/>
          <w:rtl/>
        </w:rPr>
        <w:t xml:space="preserve">נרשמה </w:t>
      </w:r>
      <w:r w:rsidR="00EC3D57">
        <w:rPr>
          <w:rFonts w:ascii="Gisha" w:hAnsi="Gisha" w:cs="Gisha" w:hint="cs"/>
          <w:sz w:val="22"/>
          <w:szCs w:val="22"/>
          <w:rtl/>
        </w:rPr>
        <w:t>ב</w:t>
      </w:r>
      <w:r w:rsidR="002C78F1">
        <w:rPr>
          <w:rFonts w:ascii="Gisha" w:hAnsi="Gisha" w:cs="Gisha" w:hint="cs"/>
          <w:sz w:val="22"/>
          <w:szCs w:val="22"/>
          <w:rtl/>
        </w:rPr>
        <w:t>אוכלוסיית הנשים</w:t>
      </w:r>
      <w:r w:rsidR="00EC3D57">
        <w:rPr>
          <w:rFonts w:ascii="Gisha" w:hAnsi="Gisha" w:cs="Gisha" w:hint="cs"/>
          <w:sz w:val="22"/>
          <w:szCs w:val="22"/>
          <w:rtl/>
        </w:rPr>
        <w:t xml:space="preserve"> הכללית</w:t>
      </w:r>
      <w:r w:rsidR="002C78F1">
        <w:rPr>
          <w:rFonts w:ascii="Gisha" w:hAnsi="Gisha" w:cs="Gisha" w:hint="cs"/>
          <w:sz w:val="22"/>
          <w:szCs w:val="22"/>
          <w:rtl/>
        </w:rPr>
        <w:t xml:space="preserve">, קבוצה </w:t>
      </w:r>
      <w:r w:rsidR="008B50E3">
        <w:rPr>
          <w:rFonts w:ascii="Gisha" w:hAnsi="Gisha" w:cs="Gisha" w:hint="cs"/>
          <w:sz w:val="22"/>
          <w:szCs w:val="22"/>
          <w:rtl/>
        </w:rPr>
        <w:t xml:space="preserve">הכוללת </w:t>
      </w:r>
      <w:r w:rsidR="002C78F1">
        <w:rPr>
          <w:rFonts w:ascii="Gisha" w:hAnsi="Gisha" w:cs="Gisha" w:hint="cs"/>
          <w:sz w:val="22"/>
          <w:szCs w:val="22"/>
          <w:rtl/>
        </w:rPr>
        <w:t xml:space="preserve">גם נשים ילידות ישראל. </w:t>
      </w:r>
      <w:r w:rsidR="006646FE">
        <w:rPr>
          <w:rFonts w:ascii="Gisha" w:hAnsi="Gisha" w:cs="Gisha" w:hint="cs"/>
          <w:sz w:val="22"/>
          <w:szCs w:val="22"/>
          <w:rtl/>
        </w:rPr>
        <w:t>ניתן לשים לב, כי ה</w:t>
      </w:r>
      <w:r>
        <w:rPr>
          <w:rFonts w:ascii="Gisha" w:hAnsi="Gisha" w:cs="Gisha" w:hint="cs"/>
          <w:sz w:val="22"/>
          <w:szCs w:val="22"/>
          <w:rtl/>
        </w:rPr>
        <w:t xml:space="preserve">פערים בשיעורי תמותה </w:t>
      </w:r>
      <w:r w:rsidR="006646FE">
        <w:rPr>
          <w:rFonts w:ascii="Gisha" w:hAnsi="Gisha" w:cs="Gisha" w:hint="cs"/>
          <w:sz w:val="22"/>
          <w:szCs w:val="22"/>
          <w:rtl/>
        </w:rPr>
        <w:t>לפי יב</w:t>
      </w:r>
      <w:r w:rsidR="00EC3D57">
        <w:rPr>
          <w:rFonts w:ascii="Gisha" w:hAnsi="Gisha" w:cs="Gisha" w:hint="cs"/>
          <w:sz w:val="22"/>
          <w:szCs w:val="22"/>
          <w:rtl/>
        </w:rPr>
        <w:t>ש</w:t>
      </w:r>
      <w:r w:rsidR="006646FE">
        <w:rPr>
          <w:rFonts w:ascii="Gisha" w:hAnsi="Gisha" w:cs="Gisha" w:hint="cs"/>
          <w:sz w:val="22"/>
          <w:szCs w:val="22"/>
          <w:rtl/>
        </w:rPr>
        <w:t xml:space="preserve">ת לידה </w:t>
      </w:r>
      <w:r>
        <w:rPr>
          <w:rFonts w:ascii="Gisha" w:hAnsi="Gisha" w:cs="Gisha" w:hint="cs"/>
          <w:sz w:val="22"/>
          <w:szCs w:val="22"/>
          <w:rtl/>
        </w:rPr>
        <w:t>בקרב גברים</w:t>
      </w:r>
      <w:r w:rsidR="00EC3D57">
        <w:rPr>
          <w:rFonts w:ascii="Gisha" w:hAnsi="Gisha" w:cs="Gisha" w:hint="cs"/>
          <w:sz w:val="22"/>
          <w:szCs w:val="22"/>
          <w:rtl/>
        </w:rPr>
        <w:t>,</w:t>
      </w:r>
      <w:r>
        <w:rPr>
          <w:rFonts w:ascii="Gisha" w:hAnsi="Gisha" w:cs="Gisha" w:hint="cs"/>
          <w:sz w:val="22"/>
          <w:szCs w:val="22"/>
          <w:rtl/>
        </w:rPr>
        <w:t xml:space="preserve"> </w:t>
      </w:r>
      <w:r w:rsidR="006646FE">
        <w:rPr>
          <w:rFonts w:ascii="Gisha" w:hAnsi="Gisha" w:cs="Gisha" w:hint="cs"/>
          <w:sz w:val="22"/>
          <w:szCs w:val="22"/>
          <w:rtl/>
        </w:rPr>
        <w:t xml:space="preserve">גדולים </w:t>
      </w:r>
      <w:r>
        <w:rPr>
          <w:rFonts w:ascii="Gisha" w:hAnsi="Gisha" w:cs="Gisha" w:hint="cs"/>
          <w:sz w:val="22"/>
          <w:szCs w:val="22"/>
          <w:rtl/>
        </w:rPr>
        <w:t xml:space="preserve">יותר מאשר </w:t>
      </w:r>
      <w:r w:rsidR="006646FE">
        <w:rPr>
          <w:rFonts w:ascii="Gisha" w:hAnsi="Gisha" w:cs="Gisha" w:hint="cs"/>
          <w:sz w:val="22"/>
          <w:szCs w:val="22"/>
          <w:rtl/>
        </w:rPr>
        <w:t>הפערים בקר</w:t>
      </w:r>
      <w:r>
        <w:rPr>
          <w:rFonts w:ascii="Gisha" w:hAnsi="Gisha" w:cs="Gisha" w:hint="cs"/>
          <w:sz w:val="22"/>
          <w:szCs w:val="22"/>
          <w:rtl/>
        </w:rPr>
        <w:t xml:space="preserve">ב </w:t>
      </w:r>
      <w:r w:rsidR="00EC3D57">
        <w:rPr>
          <w:rFonts w:ascii="Gisha" w:hAnsi="Gisha" w:cs="Gisha" w:hint="cs"/>
          <w:sz w:val="22"/>
          <w:szCs w:val="22"/>
          <w:rtl/>
        </w:rPr>
        <w:t>ה</w:t>
      </w:r>
      <w:r>
        <w:rPr>
          <w:rFonts w:ascii="Gisha" w:hAnsi="Gisha" w:cs="Gisha" w:hint="cs"/>
          <w:sz w:val="22"/>
          <w:szCs w:val="22"/>
          <w:rtl/>
        </w:rPr>
        <w:t xml:space="preserve">נשים. </w:t>
      </w:r>
    </w:p>
    <w:p w:rsidR="008364A6" w:rsidRDefault="008364A6" w:rsidP="008364A6">
      <w:pPr>
        <w:spacing w:after="0" w:line="240" w:lineRule="auto"/>
        <w:rPr>
          <w:rFonts w:ascii="Gisha" w:hAnsi="Gisha" w:cs="Gisha"/>
          <w:sz w:val="16"/>
          <w:szCs w:val="16"/>
          <w:rtl/>
        </w:rPr>
      </w:pPr>
    </w:p>
    <w:p w:rsidR="00A64B70" w:rsidRDefault="008364A6" w:rsidP="00A8283A">
      <w:pPr>
        <w:spacing w:before="120" w:after="120" w:line="24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 w:rsidRPr="00BD1D79">
        <w:rPr>
          <w:rFonts w:ascii="Gisha" w:hAnsi="Gisha" w:cs="Gisha"/>
          <w:b/>
          <w:bCs/>
          <w:sz w:val="22"/>
          <w:szCs w:val="22"/>
          <w:rtl/>
        </w:rPr>
        <w:t xml:space="preserve">תרשים </w:t>
      </w:r>
      <w:r w:rsidR="00A8283A">
        <w:rPr>
          <w:rFonts w:ascii="Gisha" w:hAnsi="Gisha" w:cs="Gisha" w:hint="cs"/>
          <w:b/>
          <w:bCs/>
          <w:sz w:val="22"/>
          <w:szCs w:val="22"/>
          <w:rtl/>
        </w:rPr>
        <w:t>3</w:t>
      </w:r>
      <w:r w:rsidRPr="00BD1D79">
        <w:rPr>
          <w:rFonts w:ascii="Gisha" w:hAnsi="Gisha" w:cs="Gisha"/>
          <w:b/>
          <w:bCs/>
          <w:sz w:val="22"/>
          <w:szCs w:val="22"/>
          <w:rtl/>
        </w:rPr>
        <w:t>. שיעורי תמותה מתוקננים ל- 1,000 תושבים של יהודים ואחרים בני 45 ומעלה                                                                                                        לפי מין ויבשת לידה</w:t>
      </w:r>
      <w:r w:rsidR="00B83904">
        <w:rPr>
          <w:rFonts w:ascii="Gisha" w:hAnsi="Gisha" w:cs="Gisha" w:hint="cs"/>
          <w:b/>
          <w:bCs/>
          <w:sz w:val="22"/>
          <w:szCs w:val="22"/>
          <w:rtl/>
        </w:rPr>
        <w:t>, ממוצעים תלת-שנתיים</w:t>
      </w:r>
      <w:r w:rsidR="00684F28">
        <w:rPr>
          <w:rFonts w:ascii="Gisha" w:hAnsi="Gisha" w:cs="Gisha" w:hint="cs"/>
          <w:b/>
          <w:bCs/>
          <w:sz w:val="22"/>
          <w:szCs w:val="22"/>
          <w:rtl/>
        </w:rPr>
        <w:t>*</w:t>
      </w:r>
    </w:p>
    <w:p w:rsidR="00446237" w:rsidRDefault="00446237" w:rsidP="00477BB5">
      <w:pPr>
        <w:spacing w:after="0" w:line="240" w:lineRule="auto"/>
        <w:jc w:val="center"/>
        <w:rPr>
          <w:rFonts w:ascii="Gisha" w:hAnsi="Gisha" w:cs="Gisha"/>
          <w:sz w:val="16"/>
          <w:szCs w:val="16"/>
          <w:rtl/>
        </w:rPr>
      </w:pPr>
      <w:r>
        <w:rPr>
          <w:noProof/>
        </w:rPr>
        <w:drawing>
          <wp:inline distT="0" distB="0" distL="0" distR="0" wp14:anchorId="3C185BAE" wp14:editId="0D81FD1A">
            <wp:extent cx="5318760" cy="2446020"/>
            <wp:effectExtent l="0" t="0" r="15240" b="11430"/>
            <wp:docPr id="1" name="תרשים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6237" w:rsidRDefault="00446237" w:rsidP="00477BB5">
      <w:pPr>
        <w:spacing w:after="0" w:line="240" w:lineRule="auto"/>
        <w:jc w:val="center"/>
        <w:rPr>
          <w:rFonts w:ascii="Gisha" w:hAnsi="Gisha" w:cs="Gisha"/>
          <w:sz w:val="16"/>
          <w:szCs w:val="16"/>
          <w:rtl/>
        </w:rPr>
      </w:pPr>
      <w:r>
        <w:rPr>
          <w:noProof/>
        </w:rPr>
        <w:drawing>
          <wp:inline distT="0" distB="0" distL="0" distR="0" wp14:anchorId="2F84B2B2" wp14:editId="10C8177B">
            <wp:extent cx="5295900" cy="2872740"/>
            <wp:effectExtent l="0" t="0" r="19050" b="22860"/>
            <wp:docPr id="2" name="תרשים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4F28" w:rsidRDefault="008364A6" w:rsidP="008364A6">
      <w:pPr>
        <w:spacing w:after="0" w:line="240" w:lineRule="auto"/>
        <w:rPr>
          <w:rFonts w:ascii="Gisha" w:hAnsi="Gisha" w:cs="Gisha"/>
          <w:sz w:val="16"/>
          <w:szCs w:val="16"/>
          <w:rtl/>
        </w:rPr>
      </w:pPr>
      <w:r w:rsidRPr="00B83904">
        <w:rPr>
          <w:rFonts w:ascii="Gisha" w:hAnsi="Gisha" w:cs="Gisha" w:hint="cs"/>
          <w:sz w:val="16"/>
          <w:szCs w:val="16"/>
          <w:rtl/>
        </w:rPr>
        <w:t xml:space="preserve"> </w:t>
      </w:r>
    </w:p>
    <w:p w:rsidR="008364A6" w:rsidRPr="00BD1D79" w:rsidRDefault="008364A6" w:rsidP="008364A6">
      <w:pPr>
        <w:spacing w:after="0" w:line="240" w:lineRule="auto"/>
        <w:rPr>
          <w:rFonts w:ascii="Gisha" w:hAnsi="Gisha" w:cs="Gisha"/>
          <w:sz w:val="16"/>
          <w:szCs w:val="16"/>
          <w:rtl/>
        </w:rPr>
      </w:pPr>
      <w:r w:rsidRPr="00B83904">
        <w:rPr>
          <w:rFonts w:ascii="Gisha" w:hAnsi="Gisha" w:cs="Gisha"/>
          <w:sz w:val="16"/>
          <w:szCs w:val="16"/>
          <w:rtl/>
        </w:rPr>
        <w:t>מקור</w:t>
      </w:r>
      <w:r w:rsidRPr="00224AC4">
        <w:rPr>
          <w:rFonts w:ascii="Gisha" w:hAnsi="Gisha" w:cs="Gisha"/>
          <w:i/>
          <w:iCs/>
          <w:sz w:val="16"/>
          <w:szCs w:val="16"/>
          <w:rtl/>
        </w:rPr>
        <w:t xml:space="preserve">: למ''ס. שנתון סטטיסטי לישראל </w:t>
      </w:r>
      <w:r>
        <w:rPr>
          <w:rFonts w:ascii="Gisha" w:hAnsi="Gisha" w:cs="Gisha" w:hint="cs"/>
          <w:i/>
          <w:iCs/>
          <w:sz w:val="16"/>
          <w:szCs w:val="16"/>
          <w:rtl/>
        </w:rPr>
        <w:t>2016</w:t>
      </w:r>
      <w:r w:rsidRPr="00224AC4">
        <w:rPr>
          <w:rFonts w:ascii="Gisha" w:hAnsi="Gisha" w:cs="Gisha"/>
          <w:sz w:val="16"/>
          <w:szCs w:val="16"/>
          <w:rtl/>
        </w:rPr>
        <w:t>.</w:t>
      </w:r>
    </w:p>
    <w:p w:rsidR="008364A6" w:rsidRPr="00BD1D79" w:rsidRDefault="00684F28" w:rsidP="00684F28">
      <w:pPr>
        <w:spacing w:after="0" w:line="240" w:lineRule="auto"/>
        <w:jc w:val="both"/>
        <w:rPr>
          <w:rFonts w:ascii="Gisha" w:hAnsi="Gisha" w:cs="Gisha"/>
          <w:b/>
          <w:bCs/>
          <w:sz w:val="22"/>
          <w:szCs w:val="22"/>
          <w:rtl/>
        </w:rPr>
      </w:pPr>
      <w:r>
        <w:rPr>
          <w:rFonts w:ascii="Gisha" w:hAnsi="Gisha" w:cs="Gisha" w:hint="cs"/>
          <w:sz w:val="16"/>
          <w:szCs w:val="16"/>
          <w:rtl/>
        </w:rPr>
        <w:t xml:space="preserve">*סה''כ כולל ילידי ישראל ויבשת לידה לא ידועה. </w:t>
      </w:r>
      <w:r w:rsidR="008364A6" w:rsidRPr="00BD1D79">
        <w:rPr>
          <w:rFonts w:ascii="Gisha" w:hAnsi="Gisha" w:cs="Gisha"/>
          <w:sz w:val="16"/>
          <w:szCs w:val="16"/>
          <w:rtl/>
        </w:rPr>
        <w:t xml:space="preserve">ילדי אירופה </w:t>
      </w:r>
      <w:r w:rsidR="00CE28FC">
        <w:rPr>
          <w:rFonts w:ascii="Gisha" w:hAnsi="Gisha" w:cs="Gisha" w:hint="cs"/>
          <w:sz w:val="16"/>
          <w:szCs w:val="16"/>
          <w:rtl/>
        </w:rPr>
        <w:t>ו</w:t>
      </w:r>
      <w:r w:rsidR="008364A6" w:rsidRPr="00BD1D79">
        <w:rPr>
          <w:rFonts w:ascii="Gisha" w:hAnsi="Gisha" w:cs="Gisha"/>
          <w:sz w:val="16"/>
          <w:szCs w:val="16"/>
          <w:rtl/>
        </w:rPr>
        <w:t>אמריקה כולל</w:t>
      </w:r>
      <w:r w:rsidR="008364A6">
        <w:rPr>
          <w:rFonts w:ascii="Gisha" w:hAnsi="Gisha" w:cs="Gisha" w:hint="cs"/>
          <w:sz w:val="16"/>
          <w:szCs w:val="16"/>
          <w:rtl/>
        </w:rPr>
        <w:t>ים</w:t>
      </w:r>
      <w:r w:rsidR="008364A6" w:rsidRPr="00BD1D79">
        <w:rPr>
          <w:rFonts w:ascii="Gisha" w:hAnsi="Gisha" w:cs="Gisha"/>
          <w:sz w:val="16"/>
          <w:szCs w:val="16"/>
          <w:rtl/>
        </w:rPr>
        <w:t xml:space="preserve"> עולי ברה''מ.</w:t>
      </w:r>
    </w:p>
    <w:p w:rsidR="00721B1F" w:rsidRDefault="00721B1F" w:rsidP="008364A6">
      <w:pPr>
        <w:spacing w:before="120" w:after="120" w:line="360" w:lineRule="auto"/>
        <w:jc w:val="both"/>
        <w:rPr>
          <w:rFonts w:ascii="Gisha" w:hAnsi="Gisha" w:cs="Gisha"/>
          <w:b/>
          <w:bCs/>
          <w:sz w:val="22"/>
          <w:szCs w:val="22"/>
          <w:rtl/>
        </w:rPr>
      </w:pPr>
    </w:p>
    <w:p w:rsidR="008364A6" w:rsidRPr="007F407F" w:rsidRDefault="00A8283A" w:rsidP="008364A6">
      <w:pPr>
        <w:spacing w:before="120" w:after="120" w:line="360" w:lineRule="auto"/>
        <w:jc w:val="both"/>
        <w:rPr>
          <w:rFonts w:ascii="Gisha" w:hAnsi="Gisha" w:cs="Gisha"/>
          <w:b/>
          <w:bCs/>
          <w:sz w:val="28"/>
          <w:szCs w:val="28"/>
          <w:rtl/>
        </w:rPr>
      </w:pPr>
      <w:r w:rsidRPr="007F407F">
        <w:rPr>
          <w:rFonts w:ascii="Gisha" w:hAnsi="Gisha" w:cs="Gisha" w:hint="cs"/>
          <w:b/>
          <w:bCs/>
          <w:sz w:val="28"/>
          <w:szCs w:val="28"/>
          <w:rtl/>
        </w:rPr>
        <w:lastRenderedPageBreak/>
        <w:t>ת</w:t>
      </w:r>
      <w:r w:rsidR="008364A6" w:rsidRPr="007F407F">
        <w:rPr>
          <w:rFonts w:ascii="Gisha" w:hAnsi="Gisha" w:cs="Gisha"/>
          <w:b/>
          <w:bCs/>
          <w:sz w:val="28"/>
          <w:szCs w:val="28"/>
          <w:rtl/>
        </w:rPr>
        <w:t>מותת תינוקות</w:t>
      </w:r>
    </w:p>
    <w:p w:rsidR="008364A6" w:rsidRPr="00BD1D79" w:rsidRDefault="008364A6" w:rsidP="00721B1F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 w:rsidRPr="00B83904">
        <w:rPr>
          <w:rFonts w:ascii="Gisha" w:hAnsi="Gisha" w:cs="Gisha"/>
          <w:sz w:val="22"/>
          <w:szCs w:val="22"/>
          <w:rtl/>
        </w:rPr>
        <w:t>בשנת 2015</w:t>
      </w:r>
      <w:r w:rsidRPr="00B83904">
        <w:rPr>
          <w:rStyle w:val="a5"/>
          <w:rFonts w:ascii="Gisha" w:hAnsi="Gisha" w:cs="Gisha"/>
          <w:sz w:val="22"/>
          <w:szCs w:val="22"/>
          <w:rtl/>
        </w:rPr>
        <w:footnoteReference w:id="5"/>
      </w:r>
      <w:r w:rsidRPr="00B83904">
        <w:rPr>
          <w:rFonts w:ascii="Gisha" w:hAnsi="Gisha" w:cs="Gisha" w:hint="cs"/>
          <w:sz w:val="22"/>
          <w:szCs w:val="22"/>
          <w:rtl/>
        </w:rPr>
        <w:t xml:space="preserve"> </w:t>
      </w:r>
      <w:r w:rsidRPr="00B83904">
        <w:rPr>
          <w:rFonts w:ascii="Gisha" w:hAnsi="Gisha" w:cs="Gisha"/>
          <w:sz w:val="22"/>
          <w:szCs w:val="22"/>
          <w:rtl/>
        </w:rPr>
        <w:t>שיעור תמותת התינוקות עמד על 3.</w:t>
      </w:r>
      <w:r w:rsidRPr="00B83904">
        <w:rPr>
          <w:rFonts w:ascii="Gisha" w:hAnsi="Gisha" w:cs="Gisha" w:hint="cs"/>
          <w:sz w:val="22"/>
          <w:szCs w:val="22"/>
          <w:rtl/>
        </w:rPr>
        <w:t>1</w:t>
      </w:r>
      <w:r w:rsidRPr="00B83904">
        <w:rPr>
          <w:rFonts w:ascii="Gisha" w:hAnsi="Gisha" w:cs="Gisha"/>
          <w:sz w:val="22"/>
          <w:szCs w:val="22"/>
          <w:rtl/>
        </w:rPr>
        <w:t xml:space="preserve"> ל- 1,000 לידות חי. בקרב יהודים ואחרים השיעור הסתכם ב- 2.</w:t>
      </w:r>
      <w:r w:rsidRPr="00B83904">
        <w:rPr>
          <w:rFonts w:ascii="Gisha" w:hAnsi="Gisha" w:cs="Gisha" w:hint="cs"/>
          <w:sz w:val="22"/>
          <w:szCs w:val="22"/>
          <w:rtl/>
        </w:rPr>
        <w:t>2</w:t>
      </w:r>
      <w:r w:rsidRPr="00B83904">
        <w:rPr>
          <w:rFonts w:ascii="Gisha" w:hAnsi="Gisha" w:cs="Gisha"/>
          <w:sz w:val="22"/>
          <w:szCs w:val="22"/>
          <w:rtl/>
        </w:rPr>
        <w:t>, ובקרב ערבים ב- 6.</w:t>
      </w:r>
      <w:r w:rsidRPr="00B83904">
        <w:rPr>
          <w:rFonts w:ascii="Gisha" w:hAnsi="Gisha" w:cs="Gisha" w:hint="cs"/>
          <w:sz w:val="22"/>
          <w:szCs w:val="22"/>
          <w:rtl/>
        </w:rPr>
        <w:t>2</w:t>
      </w:r>
      <w:r w:rsidRPr="00B83904">
        <w:rPr>
          <w:rStyle w:val="a5"/>
          <w:rFonts w:ascii="Gisha" w:hAnsi="Gisha" w:cs="Gisha"/>
          <w:sz w:val="22"/>
          <w:szCs w:val="22"/>
          <w:rtl/>
        </w:rPr>
        <w:footnoteReference w:id="6"/>
      </w:r>
      <w:r w:rsidRPr="00B83904">
        <w:rPr>
          <w:rFonts w:ascii="Gisha" w:hAnsi="Gisha" w:cs="Gisha"/>
          <w:sz w:val="22"/>
          <w:szCs w:val="22"/>
          <w:rtl/>
        </w:rPr>
        <w:t>.</w:t>
      </w:r>
      <w:r w:rsidRPr="00BD1D79">
        <w:rPr>
          <w:rFonts w:ascii="Gisha" w:hAnsi="Gisha" w:cs="Gisha"/>
          <w:sz w:val="22"/>
          <w:szCs w:val="22"/>
          <w:rtl/>
        </w:rPr>
        <w:t xml:space="preserve"> </w:t>
      </w:r>
    </w:p>
    <w:p w:rsidR="008364A6" w:rsidRDefault="00F158C6" w:rsidP="008B50E3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 w:rsidRPr="00F158C6">
        <w:rPr>
          <w:rFonts w:ascii="Gisha" w:hAnsi="Gisha" w:cs="Gisha" w:hint="cs"/>
          <w:sz w:val="22"/>
          <w:szCs w:val="22"/>
          <w:rtl/>
        </w:rPr>
        <w:t>ראוי לציין לחיוב ירידה בשיעור תמות</w:t>
      </w:r>
      <w:r w:rsidR="008B50E3">
        <w:rPr>
          <w:rFonts w:ascii="Gisha" w:hAnsi="Gisha" w:cs="Gisha" w:hint="cs"/>
          <w:sz w:val="22"/>
          <w:szCs w:val="22"/>
          <w:rtl/>
        </w:rPr>
        <w:t>ת תינוקות</w:t>
      </w:r>
      <w:r w:rsidRPr="00F158C6">
        <w:rPr>
          <w:rFonts w:ascii="Gisha" w:hAnsi="Gisha" w:cs="Gisha" w:hint="cs"/>
          <w:sz w:val="22"/>
          <w:szCs w:val="22"/>
          <w:rtl/>
        </w:rPr>
        <w:t xml:space="preserve"> במחוז הצפון בתקופת המדידה האחרונה, לאחר עלייה רציפה משנת</w:t>
      </w:r>
      <w:r w:rsidR="00A8283A">
        <w:rPr>
          <w:rFonts w:ascii="Gisha" w:hAnsi="Gisha" w:cs="Gisha" w:hint="cs"/>
          <w:sz w:val="22"/>
          <w:szCs w:val="22"/>
          <w:rtl/>
        </w:rPr>
        <w:t xml:space="preserve"> 2010</w:t>
      </w:r>
      <w:r w:rsidR="007A1E2B">
        <w:rPr>
          <w:rFonts w:ascii="Gisha" w:hAnsi="Gisha" w:cs="Gisha" w:hint="cs"/>
          <w:sz w:val="22"/>
          <w:szCs w:val="22"/>
          <w:rtl/>
        </w:rPr>
        <w:t xml:space="preserve"> (תרשים 4)</w:t>
      </w:r>
      <w:r w:rsidR="00A8283A">
        <w:rPr>
          <w:rFonts w:ascii="Gisha" w:hAnsi="Gisha" w:cs="Gisha" w:hint="cs"/>
          <w:sz w:val="22"/>
          <w:szCs w:val="22"/>
          <w:rtl/>
        </w:rPr>
        <w:t>.</w:t>
      </w:r>
      <w:r w:rsidRPr="00F158C6">
        <w:rPr>
          <w:rFonts w:ascii="Gisha" w:hAnsi="Gisha" w:cs="Gisha" w:hint="cs"/>
          <w:sz w:val="22"/>
          <w:szCs w:val="22"/>
          <w:rtl/>
        </w:rPr>
        <w:t xml:space="preserve"> </w:t>
      </w:r>
      <w:r w:rsidR="00A8283A">
        <w:rPr>
          <w:rFonts w:ascii="Gisha" w:hAnsi="Gisha" w:cs="Gisha" w:hint="cs"/>
          <w:sz w:val="22"/>
          <w:szCs w:val="22"/>
          <w:rtl/>
        </w:rPr>
        <w:t xml:space="preserve">גם </w:t>
      </w:r>
      <w:r w:rsidRPr="00F158C6">
        <w:rPr>
          <w:rFonts w:ascii="Gisha" w:hAnsi="Gisha" w:cs="Gisha" w:hint="cs"/>
          <w:sz w:val="22"/>
          <w:szCs w:val="22"/>
          <w:rtl/>
        </w:rPr>
        <w:t>במחוזות הדרום, חיפה והמרכז</w:t>
      </w:r>
      <w:r w:rsidR="00A8283A">
        <w:rPr>
          <w:rFonts w:ascii="Gisha" w:hAnsi="Gisha" w:cs="Gisha" w:hint="cs"/>
          <w:sz w:val="22"/>
          <w:szCs w:val="22"/>
          <w:rtl/>
        </w:rPr>
        <w:t xml:space="preserve"> קיימת ירידה לאורך זמן בשיעורי </w:t>
      </w:r>
      <w:r w:rsidR="008B50E3">
        <w:rPr>
          <w:rFonts w:ascii="Gisha" w:hAnsi="Gisha" w:cs="Gisha" w:hint="cs"/>
          <w:sz w:val="22"/>
          <w:szCs w:val="22"/>
          <w:rtl/>
        </w:rPr>
        <w:t>תמותת תינוקות</w:t>
      </w:r>
      <w:r w:rsidRPr="00F158C6">
        <w:rPr>
          <w:rFonts w:ascii="Gisha" w:hAnsi="Gisha" w:cs="Gisha" w:hint="cs"/>
          <w:sz w:val="22"/>
          <w:szCs w:val="22"/>
          <w:rtl/>
        </w:rPr>
        <w:t xml:space="preserve">. </w:t>
      </w:r>
      <w:r w:rsidR="008364A6" w:rsidRPr="00F158C6">
        <w:rPr>
          <w:rFonts w:ascii="Gisha" w:hAnsi="Gisha" w:cs="Gisha"/>
          <w:sz w:val="22"/>
          <w:szCs w:val="22"/>
          <w:rtl/>
        </w:rPr>
        <w:t xml:space="preserve">על רקע </w:t>
      </w:r>
      <w:r w:rsidRPr="00F158C6">
        <w:rPr>
          <w:rFonts w:ascii="Gisha" w:hAnsi="Gisha" w:cs="Gisha" w:hint="cs"/>
          <w:sz w:val="22"/>
          <w:szCs w:val="22"/>
          <w:rtl/>
        </w:rPr>
        <w:t xml:space="preserve">זה בולטת עלייה </w:t>
      </w:r>
      <w:r w:rsidR="008B50E3" w:rsidRPr="00F158C6">
        <w:rPr>
          <w:rFonts w:ascii="Gisha" w:hAnsi="Gisha" w:cs="Gisha" w:hint="cs"/>
          <w:sz w:val="22"/>
          <w:szCs w:val="22"/>
          <w:rtl/>
        </w:rPr>
        <w:t>בתמות</w:t>
      </w:r>
      <w:r w:rsidR="008B50E3">
        <w:rPr>
          <w:rFonts w:ascii="Gisha" w:hAnsi="Gisha" w:cs="Gisha" w:hint="cs"/>
          <w:sz w:val="22"/>
          <w:szCs w:val="22"/>
          <w:rtl/>
        </w:rPr>
        <w:t>ת תינוקות</w:t>
      </w:r>
      <w:r w:rsidR="008B50E3" w:rsidRPr="00F158C6">
        <w:rPr>
          <w:rFonts w:ascii="Gisha" w:hAnsi="Gisha" w:cs="Gisha" w:hint="cs"/>
          <w:sz w:val="22"/>
          <w:szCs w:val="22"/>
          <w:rtl/>
        </w:rPr>
        <w:t xml:space="preserve"> </w:t>
      </w:r>
      <w:r w:rsidRPr="00F158C6">
        <w:rPr>
          <w:rFonts w:ascii="Gisha" w:hAnsi="Gisha" w:cs="Gisha" w:hint="cs"/>
          <w:sz w:val="22"/>
          <w:szCs w:val="22"/>
          <w:rtl/>
        </w:rPr>
        <w:t xml:space="preserve">שנרשמה במחוז ירושלים מ- 3.0 </w:t>
      </w:r>
      <w:r w:rsidR="007A1E2B">
        <w:rPr>
          <w:rFonts w:ascii="Gisha" w:hAnsi="Gisha" w:cs="Gisha" w:hint="cs"/>
          <w:sz w:val="22"/>
          <w:szCs w:val="22"/>
          <w:rtl/>
        </w:rPr>
        <w:t>ב</w:t>
      </w:r>
      <w:r w:rsidRPr="00F158C6">
        <w:rPr>
          <w:rFonts w:ascii="Gisha" w:hAnsi="Gisha" w:cs="Gisha" w:hint="cs"/>
          <w:sz w:val="22"/>
          <w:szCs w:val="22"/>
          <w:rtl/>
        </w:rPr>
        <w:t xml:space="preserve">שנים 2012-2014 ל- 3.2 </w:t>
      </w:r>
      <w:r w:rsidR="007A1E2B">
        <w:rPr>
          <w:rFonts w:ascii="Gisha" w:hAnsi="Gisha" w:cs="Gisha" w:hint="cs"/>
          <w:sz w:val="22"/>
          <w:szCs w:val="22"/>
          <w:rtl/>
        </w:rPr>
        <w:t>ב</w:t>
      </w:r>
      <w:r w:rsidRPr="00F158C6">
        <w:rPr>
          <w:rFonts w:ascii="Gisha" w:hAnsi="Gisha" w:cs="Gisha" w:hint="cs"/>
          <w:sz w:val="22"/>
          <w:szCs w:val="22"/>
          <w:rtl/>
        </w:rPr>
        <w:t>שנים 2013-2015.</w:t>
      </w:r>
      <w:r w:rsidR="008364A6" w:rsidRPr="00BD1D79">
        <w:rPr>
          <w:rFonts w:ascii="Gisha" w:hAnsi="Gisha" w:cs="Gisha"/>
          <w:sz w:val="22"/>
          <w:szCs w:val="22"/>
          <w:rtl/>
        </w:rPr>
        <w:t xml:space="preserve"> </w:t>
      </w:r>
    </w:p>
    <w:p w:rsidR="002C78F1" w:rsidRDefault="002C78F1" w:rsidP="007A1E2B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</w:p>
    <w:p w:rsidR="008364A6" w:rsidRDefault="008364A6" w:rsidP="00A8283A">
      <w:pPr>
        <w:spacing w:before="120" w:after="120" w:line="36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 w:rsidRPr="00BD1D79">
        <w:rPr>
          <w:rFonts w:ascii="Gisha" w:hAnsi="Gisha" w:cs="Gisha"/>
          <w:b/>
          <w:bCs/>
          <w:sz w:val="22"/>
          <w:szCs w:val="22"/>
          <w:rtl/>
        </w:rPr>
        <w:t xml:space="preserve">תרשים </w:t>
      </w:r>
      <w:r w:rsidR="00A8283A">
        <w:rPr>
          <w:rFonts w:ascii="Gisha" w:hAnsi="Gisha" w:cs="Gisha" w:hint="cs"/>
          <w:b/>
          <w:bCs/>
          <w:sz w:val="22"/>
          <w:szCs w:val="22"/>
          <w:rtl/>
        </w:rPr>
        <w:t>4</w:t>
      </w:r>
      <w:r w:rsidRPr="00BD1D79">
        <w:rPr>
          <w:rFonts w:ascii="Gisha" w:hAnsi="Gisha" w:cs="Gisha"/>
          <w:b/>
          <w:bCs/>
          <w:sz w:val="22"/>
          <w:szCs w:val="22"/>
          <w:rtl/>
        </w:rPr>
        <w:t>. שיעורי תמותת תינוקות ממוצעים לפי מחוז</w:t>
      </w:r>
    </w:p>
    <w:p w:rsidR="008364A6" w:rsidRDefault="008364A6" w:rsidP="008364A6">
      <w:pPr>
        <w:spacing w:before="120" w:after="120" w:line="36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 w:rsidRPr="00B83904">
        <w:rPr>
          <w:noProof/>
          <w:sz w:val="16"/>
          <w:szCs w:val="16"/>
        </w:rPr>
        <w:drawing>
          <wp:inline distT="0" distB="0" distL="0" distR="0" wp14:anchorId="767CFAAF" wp14:editId="33A9F034">
            <wp:extent cx="5707380" cy="3192780"/>
            <wp:effectExtent l="0" t="0" r="26670" b="26670"/>
            <wp:docPr id="9" name="תרשים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64A6" w:rsidRPr="00BD1D79" w:rsidRDefault="008364A6" w:rsidP="008364A6">
      <w:pPr>
        <w:spacing w:before="120" w:after="120" w:line="360" w:lineRule="auto"/>
        <w:rPr>
          <w:rFonts w:ascii="Gisha" w:hAnsi="Gisha" w:cs="Gisha"/>
          <w:b/>
          <w:bCs/>
          <w:rtl/>
        </w:rPr>
      </w:pPr>
      <w:r w:rsidRPr="00A266E2">
        <w:rPr>
          <w:rFonts w:ascii="Gisha" w:hAnsi="Gisha" w:cs="Gisha"/>
          <w:sz w:val="16"/>
          <w:szCs w:val="16"/>
          <w:rtl/>
        </w:rPr>
        <w:t xml:space="preserve">מקור: למ''ס. </w:t>
      </w:r>
      <w:r w:rsidRPr="00A266E2">
        <w:rPr>
          <w:rFonts w:ascii="Gisha" w:hAnsi="Gisha" w:cs="Gisha"/>
          <w:i/>
          <w:iCs/>
          <w:sz w:val="16"/>
          <w:szCs w:val="16"/>
          <w:rtl/>
        </w:rPr>
        <w:t>שנתון סטטיסטי לישראל, 201</w:t>
      </w:r>
      <w:r>
        <w:rPr>
          <w:rFonts w:ascii="Gisha" w:hAnsi="Gisha" w:cs="Gisha" w:hint="cs"/>
          <w:i/>
          <w:iCs/>
          <w:sz w:val="16"/>
          <w:szCs w:val="16"/>
          <w:rtl/>
        </w:rPr>
        <w:t>6</w:t>
      </w:r>
      <w:r w:rsidRPr="00A266E2">
        <w:rPr>
          <w:rFonts w:ascii="Gisha" w:hAnsi="Gisha" w:cs="Gisha"/>
          <w:sz w:val="16"/>
          <w:szCs w:val="16"/>
          <w:rtl/>
        </w:rPr>
        <w:t>.</w:t>
      </w:r>
    </w:p>
    <w:p w:rsidR="002A1392" w:rsidRDefault="002A1392" w:rsidP="007A1E2B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</w:p>
    <w:p w:rsidR="00AB3189" w:rsidRPr="00AB3189" w:rsidRDefault="009A4F62" w:rsidP="00162EF9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 w:rsidRPr="00AB3189">
        <w:rPr>
          <w:rFonts w:ascii="Gisha" w:hAnsi="Gisha" w:cs="Gisha" w:hint="cs"/>
          <w:sz w:val="22"/>
          <w:szCs w:val="22"/>
          <w:rtl/>
        </w:rPr>
        <w:t xml:space="preserve">שילוב נתוני תמותת תינוקות לפי מחוז </w:t>
      </w:r>
      <w:r w:rsidR="00B6200B" w:rsidRPr="00AB3189">
        <w:rPr>
          <w:rFonts w:ascii="Gisha" w:hAnsi="Gisha" w:cs="Gisha" w:hint="cs"/>
          <w:sz w:val="22"/>
          <w:szCs w:val="22"/>
          <w:rtl/>
        </w:rPr>
        <w:t xml:space="preserve">עם נתונים לפי </w:t>
      </w:r>
      <w:r w:rsidRPr="00AB3189">
        <w:rPr>
          <w:rFonts w:ascii="Gisha" w:hAnsi="Gisha" w:cs="Gisha" w:hint="cs"/>
          <w:sz w:val="22"/>
          <w:szCs w:val="22"/>
          <w:rtl/>
        </w:rPr>
        <w:t xml:space="preserve">קבוצת אוכלוסייה </w:t>
      </w:r>
      <w:r w:rsidR="00162EF9">
        <w:rPr>
          <w:rFonts w:ascii="Gisha" w:hAnsi="Gisha" w:cs="Gisha" w:hint="cs"/>
          <w:sz w:val="22"/>
          <w:szCs w:val="22"/>
          <w:rtl/>
        </w:rPr>
        <w:t>יוצר</w:t>
      </w:r>
      <w:r w:rsidR="00162EF9" w:rsidRPr="00AB3189">
        <w:rPr>
          <w:rFonts w:ascii="Gisha" w:hAnsi="Gisha" w:cs="Gisha" w:hint="cs"/>
          <w:sz w:val="22"/>
          <w:szCs w:val="22"/>
          <w:rtl/>
        </w:rPr>
        <w:t xml:space="preserve"> </w:t>
      </w:r>
      <w:r w:rsidR="00B6200B" w:rsidRPr="00AB3189">
        <w:rPr>
          <w:rFonts w:ascii="Gisha" w:hAnsi="Gisha" w:cs="Gisha" w:hint="cs"/>
          <w:sz w:val="22"/>
          <w:szCs w:val="22"/>
          <w:rtl/>
        </w:rPr>
        <w:t>תמונה מורכבת</w:t>
      </w:r>
      <w:r w:rsidR="007A1E2B">
        <w:rPr>
          <w:rFonts w:ascii="Gisha" w:hAnsi="Gisha" w:cs="Gisha" w:hint="cs"/>
          <w:sz w:val="22"/>
          <w:szCs w:val="22"/>
          <w:rtl/>
        </w:rPr>
        <w:t xml:space="preserve"> (ראה לוח 1)</w:t>
      </w:r>
      <w:r w:rsidR="00B6200B" w:rsidRPr="00AB3189">
        <w:rPr>
          <w:rFonts w:ascii="Gisha" w:hAnsi="Gisha" w:cs="Gisha" w:hint="cs"/>
          <w:sz w:val="22"/>
          <w:szCs w:val="22"/>
          <w:rtl/>
        </w:rPr>
        <w:t>.</w:t>
      </w:r>
      <w:r w:rsidR="00AB3189" w:rsidRPr="00AB3189">
        <w:rPr>
          <w:rFonts w:ascii="Gisha" w:hAnsi="Gisha" w:cs="Gisha" w:hint="cs"/>
          <w:sz w:val="22"/>
          <w:szCs w:val="22"/>
          <w:rtl/>
        </w:rPr>
        <w:t xml:space="preserve"> </w:t>
      </w:r>
      <w:r w:rsidR="007A1E2B">
        <w:rPr>
          <w:rFonts w:ascii="Gisha" w:hAnsi="Gisha" w:cs="Gisha" w:hint="cs"/>
          <w:sz w:val="22"/>
          <w:szCs w:val="22"/>
          <w:rtl/>
        </w:rPr>
        <w:t xml:space="preserve">בקרב יהודים, בחינה של שיעורי תמותה בשלוש נקודות זמן מראה </w:t>
      </w:r>
      <w:r w:rsidR="00AB3189" w:rsidRPr="00AB3189">
        <w:rPr>
          <w:rFonts w:ascii="Gisha" w:hAnsi="Gisha" w:cs="Gisha" w:hint="cs"/>
          <w:sz w:val="22"/>
          <w:szCs w:val="22"/>
          <w:rtl/>
        </w:rPr>
        <w:t xml:space="preserve">ירידה עקבית במחוזות ירושלים, המרכז והדרום. במחוזות צפון וחיפה נצפתה יציבות במדד במשך שתי תקופות </w:t>
      </w:r>
      <w:r w:rsidR="00CE28FC">
        <w:rPr>
          <w:rFonts w:ascii="Gisha" w:hAnsi="Gisha" w:cs="Gisha" w:hint="cs"/>
          <w:sz w:val="22"/>
          <w:szCs w:val="22"/>
          <w:rtl/>
        </w:rPr>
        <w:t>ה</w:t>
      </w:r>
      <w:r w:rsidR="00AB3189" w:rsidRPr="00AB3189">
        <w:rPr>
          <w:rFonts w:ascii="Gisha" w:hAnsi="Gisha" w:cs="Gisha" w:hint="cs"/>
          <w:sz w:val="22"/>
          <w:szCs w:val="22"/>
          <w:rtl/>
        </w:rPr>
        <w:t xml:space="preserve">מדידה האחרונות. </w:t>
      </w:r>
    </w:p>
    <w:p w:rsidR="007A1E2B" w:rsidRDefault="00AB3189" w:rsidP="00162EF9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 w:rsidRPr="00AB3189">
        <w:rPr>
          <w:rFonts w:ascii="Gisha" w:hAnsi="Gisha" w:cs="Gisha" w:hint="cs"/>
          <w:sz w:val="22"/>
          <w:szCs w:val="22"/>
          <w:rtl/>
        </w:rPr>
        <w:t>בקרב ה</w:t>
      </w:r>
      <w:r w:rsidR="00162EF9">
        <w:rPr>
          <w:rFonts w:ascii="Gisha" w:hAnsi="Gisha" w:cs="Gisha" w:hint="cs"/>
          <w:sz w:val="22"/>
          <w:szCs w:val="22"/>
          <w:rtl/>
        </w:rPr>
        <w:t>אוכלוסי</w:t>
      </w:r>
      <w:r w:rsidR="00721B1F">
        <w:rPr>
          <w:rFonts w:ascii="Gisha" w:hAnsi="Gisha" w:cs="Gisha" w:hint="cs"/>
          <w:sz w:val="22"/>
          <w:szCs w:val="22"/>
          <w:rtl/>
        </w:rPr>
        <w:t>י</w:t>
      </w:r>
      <w:r w:rsidR="00162EF9">
        <w:rPr>
          <w:rFonts w:ascii="Gisha" w:hAnsi="Gisha" w:cs="Gisha" w:hint="cs"/>
          <w:sz w:val="22"/>
          <w:szCs w:val="22"/>
          <w:rtl/>
        </w:rPr>
        <w:t>ה ה</w:t>
      </w:r>
      <w:r w:rsidR="00162EF9" w:rsidRPr="00AB3189">
        <w:rPr>
          <w:rFonts w:ascii="Gisha" w:hAnsi="Gisha" w:cs="Gisha" w:hint="cs"/>
          <w:sz w:val="22"/>
          <w:szCs w:val="22"/>
          <w:rtl/>
        </w:rPr>
        <w:t>ערבי</w:t>
      </w:r>
      <w:r w:rsidR="00162EF9">
        <w:rPr>
          <w:rFonts w:ascii="Gisha" w:hAnsi="Gisha" w:cs="Gisha" w:hint="cs"/>
          <w:sz w:val="22"/>
          <w:szCs w:val="22"/>
          <w:rtl/>
        </w:rPr>
        <w:t>ת</w:t>
      </w:r>
      <w:r w:rsidRPr="00AB3189">
        <w:rPr>
          <w:rFonts w:ascii="Gisha" w:hAnsi="Gisha" w:cs="Gisha" w:hint="cs"/>
          <w:sz w:val="22"/>
          <w:szCs w:val="22"/>
          <w:rtl/>
        </w:rPr>
        <w:t xml:space="preserve">, </w:t>
      </w:r>
      <w:r w:rsidR="00162EF9" w:rsidRPr="00AB3189">
        <w:rPr>
          <w:rFonts w:ascii="Gisha" w:hAnsi="Gisha" w:cs="Gisha" w:hint="cs"/>
          <w:sz w:val="22"/>
          <w:szCs w:val="22"/>
          <w:rtl/>
        </w:rPr>
        <w:t xml:space="preserve">נצפתה </w:t>
      </w:r>
      <w:r w:rsidRPr="00AB3189">
        <w:rPr>
          <w:rFonts w:ascii="Gisha" w:hAnsi="Gisha" w:cs="Gisha" w:hint="cs"/>
          <w:sz w:val="22"/>
          <w:szCs w:val="22"/>
          <w:rtl/>
        </w:rPr>
        <w:t xml:space="preserve">ירידה עקבית במחוזות חיפה ומרכז, ואילו במחוז ירושלים מגמת הירידה </w:t>
      </w:r>
      <w:r w:rsidR="00B6200B" w:rsidRPr="00AB3189">
        <w:rPr>
          <w:rFonts w:ascii="Gisha" w:hAnsi="Gisha" w:cs="Gisha" w:hint="cs"/>
          <w:sz w:val="22"/>
          <w:szCs w:val="22"/>
          <w:rtl/>
        </w:rPr>
        <w:t>התחלפה בעלייה</w:t>
      </w:r>
      <w:r w:rsidRPr="00AB3189">
        <w:rPr>
          <w:rFonts w:ascii="Gisha" w:hAnsi="Gisha" w:cs="Gisha" w:hint="cs"/>
          <w:sz w:val="22"/>
          <w:szCs w:val="22"/>
          <w:rtl/>
        </w:rPr>
        <w:t>.</w:t>
      </w:r>
      <w:r w:rsidR="00B6200B" w:rsidRPr="00AB3189">
        <w:rPr>
          <w:rFonts w:ascii="Gisha" w:hAnsi="Gisha" w:cs="Gisha" w:hint="cs"/>
          <w:sz w:val="22"/>
          <w:szCs w:val="22"/>
          <w:rtl/>
        </w:rPr>
        <w:t xml:space="preserve"> </w:t>
      </w:r>
      <w:r w:rsidRPr="00AB3189">
        <w:rPr>
          <w:rFonts w:ascii="Gisha" w:hAnsi="Gisha" w:cs="Gisha" w:hint="cs"/>
          <w:sz w:val="22"/>
          <w:szCs w:val="22"/>
          <w:rtl/>
        </w:rPr>
        <w:t xml:space="preserve">במחוזות דרום וצפון נצפתה יציבות בשיעור תמותת </w:t>
      </w:r>
      <w:r w:rsidR="00CE28FC">
        <w:rPr>
          <w:rFonts w:ascii="Gisha" w:hAnsi="Gisha" w:cs="Gisha" w:hint="cs"/>
          <w:sz w:val="22"/>
          <w:szCs w:val="22"/>
          <w:rtl/>
        </w:rPr>
        <w:t xml:space="preserve">התינוקות </w:t>
      </w:r>
      <w:r w:rsidR="007A1E2B">
        <w:rPr>
          <w:rFonts w:ascii="Gisha" w:hAnsi="Gisha" w:cs="Gisha" w:hint="cs"/>
          <w:sz w:val="22"/>
          <w:szCs w:val="22"/>
          <w:rtl/>
        </w:rPr>
        <w:t>בשנים האחרונות.</w:t>
      </w:r>
    </w:p>
    <w:p w:rsidR="002C78F1" w:rsidRDefault="002C78F1" w:rsidP="007A1E2B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</w:p>
    <w:p w:rsidR="008364A6" w:rsidRDefault="008364A6" w:rsidP="002C78F1">
      <w:pPr>
        <w:spacing w:before="120" w:after="120" w:line="360" w:lineRule="auto"/>
        <w:jc w:val="center"/>
        <w:rPr>
          <w:rFonts w:ascii="Gisha" w:hAnsi="Gisha" w:cs="Gisha"/>
          <w:b/>
          <w:bCs/>
          <w:sz w:val="22"/>
          <w:szCs w:val="22"/>
        </w:rPr>
      </w:pPr>
      <w:r>
        <w:rPr>
          <w:rFonts w:ascii="Gisha" w:hAnsi="Gisha" w:cs="Gisha"/>
          <w:b/>
          <w:bCs/>
          <w:sz w:val="22"/>
          <w:szCs w:val="22"/>
          <w:rtl/>
        </w:rPr>
        <w:t>לוח 1. שיעורי תמותת תינוקות לפי מחוז וקבוצת אוכלוסייה, ממוצעים לשנים שונות</w:t>
      </w:r>
    </w:p>
    <w:tbl>
      <w:tblPr>
        <w:bidiVisual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139"/>
        <w:gridCol w:w="1010"/>
        <w:gridCol w:w="1216"/>
        <w:gridCol w:w="1132"/>
        <w:gridCol w:w="1559"/>
        <w:gridCol w:w="1559"/>
      </w:tblGrid>
      <w:tr w:rsidR="008364A6" w:rsidTr="00D91694">
        <w:trPr>
          <w:trHeight w:val="558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4A6" w:rsidRDefault="008364A6" w:rsidP="002F0F17">
            <w:pPr>
              <w:spacing w:after="0" w:line="240" w:lineRule="auto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מחוז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 xml:space="preserve">ממוצע </w:t>
            </w:r>
          </w:p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2009-2011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 xml:space="preserve">ממוצע </w:t>
            </w:r>
          </w:p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2011-2013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 xml:space="preserve">ממוצע </w:t>
            </w:r>
          </w:p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2013-2015</w:t>
            </w:r>
          </w:p>
        </w:tc>
      </w:tr>
      <w:tr w:rsidR="008364A6" w:rsidTr="00D91694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A6" w:rsidRDefault="008364A6" w:rsidP="002F0F17">
            <w:pPr>
              <w:spacing w:after="0" w:line="256" w:lineRule="auto"/>
              <w:rPr>
                <w:rFonts w:ascii="Gisha" w:hAnsi="Gisha" w:cs="Gisha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יהודים ואחרים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ערבים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יהודים ואחרים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ערבים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יהודים ואחרים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4A6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ערבים</w:t>
            </w:r>
          </w:p>
        </w:tc>
      </w:tr>
      <w:tr w:rsidR="008364A6" w:rsidTr="00D91694">
        <w:trPr>
          <w:trHeight w:val="27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Default="008364A6" w:rsidP="002F0F17">
            <w:pPr>
              <w:spacing w:after="0" w:line="240" w:lineRule="auto"/>
              <w:rPr>
                <w:rFonts w:ascii="Gisha" w:hAnsi="Gisha" w:cs="Gisha"/>
                <w:b/>
                <w:bCs/>
                <w:rtl/>
              </w:rPr>
            </w:pPr>
            <w:r>
              <w:rPr>
                <w:rFonts w:ascii="Gisha" w:hAnsi="Gisha" w:cs="Gisha"/>
                <w:b/>
                <w:bCs/>
                <w:rtl/>
              </w:rPr>
              <w:t>סה''כ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AB3189">
              <w:rPr>
                <w:rFonts w:ascii="Gisha" w:hAnsi="Gisha" w:cs="Gisha"/>
                <w:b/>
                <w:bCs/>
                <w:rtl/>
              </w:rPr>
              <w:t>2.7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AB3189">
              <w:rPr>
                <w:rFonts w:ascii="Gisha" w:hAnsi="Gisha" w:cs="Gisha"/>
                <w:b/>
                <w:bCs/>
                <w:rtl/>
              </w:rPr>
              <w:t>6.7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AB3189">
              <w:rPr>
                <w:rFonts w:ascii="Gisha" w:hAnsi="Gisha" w:cs="Gisha"/>
                <w:b/>
                <w:bCs/>
                <w:rtl/>
              </w:rPr>
              <w:t>2.5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AB3189">
              <w:rPr>
                <w:rFonts w:ascii="Gisha" w:hAnsi="Gisha" w:cs="Gisha"/>
                <w:b/>
                <w:bCs/>
                <w:rtl/>
              </w:rPr>
              <w:t>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AB3189">
              <w:rPr>
                <w:rFonts w:ascii="Gisha" w:hAnsi="Gisha" w:cs="Gisha"/>
                <w:b/>
                <w:bCs/>
                <w:rtl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b/>
                <w:bCs/>
                <w:rtl/>
              </w:rPr>
            </w:pPr>
            <w:r w:rsidRPr="00AB3189">
              <w:rPr>
                <w:rFonts w:ascii="Gisha" w:hAnsi="Gisha" w:cs="Gisha"/>
                <w:b/>
                <w:bCs/>
                <w:rtl/>
              </w:rPr>
              <w:t>6.2</w:t>
            </w:r>
          </w:p>
        </w:tc>
      </w:tr>
      <w:tr w:rsidR="008364A6" w:rsidTr="00D91694">
        <w:trPr>
          <w:trHeight w:val="28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Default="008364A6" w:rsidP="002F0F17">
            <w:pPr>
              <w:spacing w:after="0" w:line="240" w:lineRule="auto"/>
              <w:rPr>
                <w:rFonts w:ascii="Gisha" w:hAnsi="Gisha" w:cs="Gisha"/>
                <w:rtl/>
              </w:rPr>
            </w:pPr>
            <w:r>
              <w:rPr>
                <w:rFonts w:ascii="Gisha" w:hAnsi="Gisha" w:cs="Gisha"/>
                <w:rtl/>
              </w:rPr>
              <w:t>ירושלים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3.1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6.7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5.5</w:t>
            </w:r>
          </w:p>
        </w:tc>
      </w:tr>
      <w:tr w:rsidR="008364A6" w:rsidTr="00D91694">
        <w:trPr>
          <w:trHeight w:val="27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Default="008364A6" w:rsidP="002F0F17">
            <w:pPr>
              <w:spacing w:after="0" w:line="240" w:lineRule="auto"/>
              <w:rPr>
                <w:rFonts w:ascii="Gisha" w:hAnsi="Gisha" w:cs="Gisha"/>
                <w:rtl/>
              </w:rPr>
            </w:pPr>
            <w:r>
              <w:rPr>
                <w:rFonts w:ascii="Gisha" w:hAnsi="Gisha" w:cs="Gisha"/>
                <w:rtl/>
              </w:rPr>
              <w:t>צפון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4.7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4.8</w:t>
            </w:r>
          </w:p>
        </w:tc>
      </w:tr>
      <w:tr w:rsidR="008364A6" w:rsidTr="00D91694">
        <w:trPr>
          <w:trHeight w:val="27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Default="008364A6" w:rsidP="002F0F17">
            <w:pPr>
              <w:spacing w:after="0" w:line="240" w:lineRule="auto"/>
              <w:rPr>
                <w:rFonts w:ascii="Gisha" w:hAnsi="Gisha" w:cs="Gisha"/>
                <w:rtl/>
              </w:rPr>
            </w:pPr>
            <w:r>
              <w:rPr>
                <w:rFonts w:ascii="Gisha" w:hAnsi="Gisha" w:cs="Gisha"/>
                <w:rtl/>
              </w:rPr>
              <w:t>חיפה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3.0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6.0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4.3</w:t>
            </w:r>
          </w:p>
        </w:tc>
      </w:tr>
      <w:tr w:rsidR="008364A6" w:rsidTr="00D91694">
        <w:trPr>
          <w:trHeight w:val="28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Default="008364A6" w:rsidP="002F0F17">
            <w:pPr>
              <w:spacing w:after="0" w:line="240" w:lineRule="auto"/>
              <w:rPr>
                <w:rFonts w:ascii="Gisha" w:hAnsi="Gisha" w:cs="Gisha"/>
                <w:rtl/>
              </w:rPr>
            </w:pPr>
            <w:r>
              <w:rPr>
                <w:rFonts w:ascii="Gisha" w:hAnsi="Gisha" w:cs="Gisha"/>
                <w:rtl/>
              </w:rPr>
              <w:t>מרכז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6.3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4.8</w:t>
            </w:r>
          </w:p>
        </w:tc>
      </w:tr>
      <w:tr w:rsidR="008364A6" w:rsidTr="00D91694">
        <w:trPr>
          <w:trHeight w:val="27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Default="008364A6" w:rsidP="002F0F17">
            <w:pPr>
              <w:spacing w:after="0" w:line="240" w:lineRule="auto"/>
              <w:rPr>
                <w:rFonts w:ascii="Gisha" w:hAnsi="Gisha" w:cs="Gisha"/>
                <w:rtl/>
              </w:rPr>
            </w:pPr>
            <w:r>
              <w:rPr>
                <w:rFonts w:ascii="Gisha" w:hAnsi="Gisha" w:cs="Gisha"/>
                <w:rtl/>
              </w:rPr>
              <w:t>תל אביב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(3.8)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(4.6)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(6.0)</w:t>
            </w:r>
          </w:p>
        </w:tc>
      </w:tr>
      <w:tr w:rsidR="008364A6" w:rsidTr="00D91694">
        <w:trPr>
          <w:trHeight w:val="27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Default="008364A6" w:rsidP="002F0F17">
            <w:pPr>
              <w:spacing w:after="0" w:line="240" w:lineRule="auto"/>
              <w:rPr>
                <w:rFonts w:ascii="Gisha" w:hAnsi="Gisha" w:cs="Gisha"/>
                <w:rtl/>
              </w:rPr>
            </w:pPr>
            <w:r>
              <w:rPr>
                <w:rFonts w:ascii="Gisha" w:hAnsi="Gisha" w:cs="Gisha"/>
                <w:rtl/>
              </w:rPr>
              <w:t>דרום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3.5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11.6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3.1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11.0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A6" w:rsidRPr="00AB3189" w:rsidRDefault="008364A6" w:rsidP="002F0F17">
            <w:pPr>
              <w:spacing w:after="0" w:line="240" w:lineRule="auto"/>
              <w:jc w:val="center"/>
              <w:rPr>
                <w:rFonts w:ascii="Gisha" w:hAnsi="Gisha" w:cs="Gisha"/>
                <w:rtl/>
              </w:rPr>
            </w:pPr>
            <w:r w:rsidRPr="00AB3189">
              <w:rPr>
                <w:rFonts w:ascii="Gisha" w:hAnsi="Gisha" w:cs="Gisha"/>
                <w:rtl/>
              </w:rPr>
              <w:t>11.0</w:t>
            </w:r>
          </w:p>
        </w:tc>
      </w:tr>
    </w:tbl>
    <w:p w:rsidR="00D91694" w:rsidRDefault="00D91694" w:rsidP="008364A6">
      <w:pPr>
        <w:spacing w:after="0" w:line="240" w:lineRule="auto"/>
        <w:rPr>
          <w:rFonts w:ascii="Gisha" w:hAnsi="Gisha" w:cs="Gisha"/>
          <w:sz w:val="16"/>
          <w:szCs w:val="16"/>
          <w:rtl/>
        </w:rPr>
      </w:pPr>
    </w:p>
    <w:p w:rsidR="008364A6" w:rsidRDefault="008364A6" w:rsidP="008364A6">
      <w:pPr>
        <w:spacing w:after="0" w:line="240" w:lineRule="auto"/>
        <w:rPr>
          <w:rFonts w:ascii="Gisha" w:hAnsi="Gisha" w:cs="Gisha"/>
          <w:sz w:val="16"/>
          <w:szCs w:val="16"/>
          <w:rtl/>
        </w:rPr>
      </w:pPr>
      <w:r>
        <w:rPr>
          <w:rFonts w:ascii="Gisha" w:hAnsi="Gisha" w:cs="Gisha"/>
          <w:sz w:val="16"/>
          <w:szCs w:val="16"/>
          <w:rtl/>
        </w:rPr>
        <w:t xml:space="preserve">מקורות: למ''ס. </w:t>
      </w:r>
      <w:r>
        <w:rPr>
          <w:rFonts w:ascii="Gisha" w:hAnsi="Gisha" w:cs="Gisha"/>
          <w:i/>
          <w:iCs/>
          <w:sz w:val="16"/>
          <w:szCs w:val="16"/>
          <w:rtl/>
        </w:rPr>
        <w:t>שנתון סטטיסטי לישראל</w:t>
      </w:r>
      <w:r>
        <w:rPr>
          <w:rFonts w:ascii="Gisha" w:hAnsi="Gisha" w:cs="Gisha"/>
          <w:sz w:val="16"/>
          <w:szCs w:val="16"/>
          <w:rtl/>
        </w:rPr>
        <w:t>, שנים שונות.</w:t>
      </w:r>
    </w:p>
    <w:p w:rsidR="008364A6" w:rsidRDefault="008364A6" w:rsidP="008364A6">
      <w:pPr>
        <w:spacing w:before="120" w:after="120" w:line="24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 w:rsidRPr="00BD1D79">
        <w:rPr>
          <w:rFonts w:ascii="Gisha" w:hAnsi="Gisha" w:cs="Gisha"/>
          <w:b/>
          <w:bCs/>
          <w:sz w:val="22"/>
          <w:szCs w:val="22"/>
          <w:rtl/>
        </w:rPr>
        <w:t xml:space="preserve"> </w:t>
      </w:r>
    </w:p>
    <w:p w:rsidR="00B6200B" w:rsidRPr="00BD1D79" w:rsidRDefault="00512AEA" w:rsidP="003F5502">
      <w:pPr>
        <w:spacing w:before="120" w:after="120" w:line="360" w:lineRule="auto"/>
        <w:jc w:val="both"/>
        <w:rPr>
          <w:rFonts w:ascii="Gisha" w:hAnsi="Gisha" w:cs="Gisha"/>
          <w:sz w:val="22"/>
          <w:szCs w:val="22"/>
          <w:rtl/>
        </w:rPr>
      </w:pPr>
      <w:r w:rsidRPr="007F407F">
        <w:rPr>
          <w:rFonts w:ascii="Gisha" w:hAnsi="Gisha" w:cs="Gisha" w:hint="cs"/>
          <w:sz w:val="22"/>
          <w:szCs w:val="22"/>
          <w:rtl/>
        </w:rPr>
        <w:t>ב</w:t>
      </w:r>
      <w:r w:rsidRPr="007F407F">
        <w:rPr>
          <w:rFonts w:ascii="Gisha" w:hAnsi="Gisha" w:cs="Gisha"/>
          <w:sz w:val="22"/>
          <w:szCs w:val="22"/>
          <w:rtl/>
        </w:rPr>
        <w:t xml:space="preserve">בחינת </w:t>
      </w:r>
      <w:r w:rsidR="007F407F" w:rsidRPr="007F407F">
        <w:rPr>
          <w:rFonts w:ascii="Gisha" w:hAnsi="Gisha" w:cs="Gisha" w:hint="cs"/>
          <w:sz w:val="22"/>
          <w:szCs w:val="22"/>
          <w:rtl/>
        </w:rPr>
        <w:t>ה</w:t>
      </w:r>
      <w:r w:rsidR="00B6200B" w:rsidRPr="007F407F">
        <w:rPr>
          <w:rFonts w:ascii="Gisha" w:hAnsi="Gisha" w:cs="Gisha"/>
          <w:sz w:val="22"/>
          <w:szCs w:val="22"/>
          <w:rtl/>
        </w:rPr>
        <w:t xml:space="preserve">סיבות לתמותת תינוקות, הסיבה השכיחה </w:t>
      </w:r>
      <w:r w:rsidR="00B6200B" w:rsidRPr="007F407F">
        <w:rPr>
          <w:rFonts w:ascii="Gisha" w:hAnsi="Gisha" w:cs="Gisha" w:hint="cs"/>
          <w:sz w:val="22"/>
          <w:szCs w:val="22"/>
          <w:rtl/>
        </w:rPr>
        <w:t xml:space="preserve">ביותר </w:t>
      </w:r>
      <w:r w:rsidRPr="007F407F">
        <w:rPr>
          <w:rFonts w:ascii="Gisha" w:hAnsi="Gisha" w:cs="Gisha"/>
          <w:sz w:val="22"/>
          <w:szCs w:val="22"/>
          <w:rtl/>
        </w:rPr>
        <w:t>לתמות</w:t>
      </w:r>
      <w:r w:rsidRPr="007F407F">
        <w:rPr>
          <w:rFonts w:ascii="Gisha" w:hAnsi="Gisha" w:cs="Gisha" w:hint="cs"/>
          <w:sz w:val="22"/>
          <w:szCs w:val="22"/>
          <w:rtl/>
        </w:rPr>
        <w:t xml:space="preserve">ת תינוקות </w:t>
      </w:r>
      <w:r w:rsidR="00B6200B" w:rsidRPr="007F407F">
        <w:rPr>
          <w:rFonts w:ascii="Gisha" w:hAnsi="Gisha" w:cs="Gisha"/>
          <w:sz w:val="22"/>
          <w:szCs w:val="22"/>
          <w:rtl/>
        </w:rPr>
        <w:t xml:space="preserve">באוכלוסייה היהודית היא </w:t>
      </w:r>
      <w:r w:rsidRPr="007F407F">
        <w:rPr>
          <w:rFonts w:ascii="Gisha" w:hAnsi="Gisha" w:cs="Gisha" w:hint="cs"/>
          <w:sz w:val="22"/>
          <w:szCs w:val="22"/>
          <w:rtl/>
        </w:rPr>
        <w:t>סיבוך</w:t>
      </w:r>
      <w:r w:rsidR="00B6200B" w:rsidRPr="007F407F">
        <w:rPr>
          <w:rFonts w:ascii="Gisha" w:hAnsi="Gisha" w:cs="Gisha"/>
          <w:sz w:val="22"/>
          <w:szCs w:val="22"/>
          <w:rtl/>
        </w:rPr>
        <w:t xml:space="preserve"> סב-לידתי</w:t>
      </w:r>
      <w:r w:rsidR="007F407F" w:rsidRPr="007F407F">
        <w:rPr>
          <w:rFonts w:ascii="Gisha" w:hAnsi="Gisha" w:cs="Gisha" w:hint="cs"/>
          <w:sz w:val="22"/>
          <w:szCs w:val="22"/>
          <w:rtl/>
        </w:rPr>
        <w:t xml:space="preserve"> </w:t>
      </w:r>
      <w:r w:rsidR="00B6200B" w:rsidRPr="007F407F">
        <w:rPr>
          <w:rFonts w:ascii="Gisha" w:hAnsi="Gisha" w:cs="Gisha"/>
          <w:sz w:val="22"/>
          <w:szCs w:val="22"/>
          <w:rtl/>
        </w:rPr>
        <w:t>(1.3 ל- 1,000 לידות חי</w:t>
      </w:r>
      <w:r w:rsidR="00721B1F" w:rsidRPr="007F407F">
        <w:rPr>
          <w:rStyle w:val="a5"/>
          <w:rFonts w:ascii="Gisha" w:hAnsi="Gisha" w:cs="Gisha"/>
          <w:sz w:val="22"/>
          <w:szCs w:val="22"/>
          <w:rtl/>
        </w:rPr>
        <w:footnoteReference w:id="7"/>
      </w:r>
      <w:r w:rsidR="00B6200B" w:rsidRPr="007F407F">
        <w:rPr>
          <w:rFonts w:ascii="Gisha" w:hAnsi="Gisha" w:cs="Gisha"/>
          <w:sz w:val="22"/>
          <w:szCs w:val="22"/>
          <w:rtl/>
        </w:rPr>
        <w:t xml:space="preserve">, </w:t>
      </w:r>
      <w:r w:rsidR="00721B1F" w:rsidRPr="007F407F">
        <w:rPr>
          <w:rFonts w:ascii="Gisha" w:hAnsi="Gisha" w:cs="Gisha" w:hint="cs"/>
          <w:sz w:val="22"/>
          <w:szCs w:val="22"/>
          <w:rtl/>
        </w:rPr>
        <w:t>כ- 50% מסך כלל התמותה</w:t>
      </w:r>
      <w:r w:rsidR="00B6200B" w:rsidRPr="007F407F">
        <w:rPr>
          <w:rFonts w:ascii="Gisha" w:hAnsi="Gisha" w:cs="Gisha"/>
          <w:sz w:val="22"/>
          <w:szCs w:val="22"/>
          <w:rtl/>
        </w:rPr>
        <w:t>), ואילו ב</w:t>
      </w:r>
      <w:r w:rsidR="00B6200B" w:rsidRPr="007F407F">
        <w:rPr>
          <w:rFonts w:ascii="Gisha" w:hAnsi="Gisha" w:cs="Gisha" w:hint="cs"/>
          <w:sz w:val="22"/>
          <w:szCs w:val="22"/>
          <w:rtl/>
        </w:rPr>
        <w:t>קרב בני דתות אחרות</w:t>
      </w:r>
      <w:r w:rsidR="00B6200B" w:rsidRPr="007F407F">
        <w:rPr>
          <w:rFonts w:ascii="Gisha" w:hAnsi="Gisha" w:cs="Gisha"/>
          <w:sz w:val="22"/>
          <w:szCs w:val="22"/>
          <w:rtl/>
        </w:rPr>
        <w:t xml:space="preserve"> הסיבה המובילה היא, בדומה לשנים הקודמות, מומים מולדים (2.</w:t>
      </w:r>
      <w:r w:rsidR="00B6200B" w:rsidRPr="007F407F">
        <w:rPr>
          <w:rFonts w:ascii="Gisha" w:hAnsi="Gisha" w:cs="Gisha" w:hint="cs"/>
          <w:sz w:val="22"/>
          <w:szCs w:val="22"/>
          <w:rtl/>
        </w:rPr>
        <w:t>5</w:t>
      </w:r>
      <w:r w:rsidR="00B6200B" w:rsidRPr="007F407F">
        <w:rPr>
          <w:rFonts w:ascii="Gisha" w:hAnsi="Gisha" w:cs="Gisha"/>
          <w:sz w:val="22"/>
          <w:szCs w:val="22"/>
          <w:rtl/>
        </w:rPr>
        <w:t xml:space="preserve"> ל- 1,000 לידות חי</w:t>
      </w:r>
      <w:r w:rsidR="00721B1F" w:rsidRPr="007F407F">
        <w:rPr>
          <w:rFonts w:ascii="Gisha" w:hAnsi="Gisha" w:cs="Gisha" w:hint="cs"/>
          <w:sz w:val="22"/>
          <w:szCs w:val="22"/>
          <w:rtl/>
        </w:rPr>
        <w:t>, כ- 40% מכלל התמותה</w:t>
      </w:r>
      <w:r w:rsidR="00B6200B" w:rsidRPr="007F407F">
        <w:rPr>
          <w:rFonts w:ascii="Gisha" w:hAnsi="Gisha" w:cs="Gisha"/>
          <w:sz w:val="22"/>
          <w:szCs w:val="22"/>
          <w:rtl/>
        </w:rPr>
        <w:t>).</w:t>
      </w:r>
      <w:r w:rsidR="00B6200B" w:rsidRPr="00BD1D79">
        <w:rPr>
          <w:rFonts w:ascii="Gisha" w:hAnsi="Gisha" w:cs="Gisha"/>
          <w:sz w:val="22"/>
          <w:szCs w:val="22"/>
          <w:rtl/>
        </w:rPr>
        <w:t xml:space="preserve"> </w:t>
      </w:r>
    </w:p>
    <w:p w:rsidR="00025DE6" w:rsidRDefault="00025DE6">
      <w:pPr>
        <w:rPr>
          <w:rFonts w:ascii="Gisha" w:hAnsi="Gisha" w:cs="Gisha"/>
          <w:b/>
          <w:bCs/>
          <w:sz w:val="22"/>
          <w:szCs w:val="22"/>
          <w:rtl/>
        </w:rPr>
      </w:pPr>
    </w:p>
    <w:p w:rsidR="00C60CBE" w:rsidRPr="003F5502" w:rsidRDefault="00AB3189" w:rsidP="00C60CBE">
      <w:pPr>
        <w:rPr>
          <w:rFonts w:ascii="Gisha" w:hAnsi="Gisha" w:cs="Gisha"/>
          <w:b/>
          <w:bCs/>
          <w:sz w:val="28"/>
          <w:szCs w:val="28"/>
          <w:rtl/>
        </w:rPr>
      </w:pPr>
      <w:r w:rsidRPr="003F5502">
        <w:rPr>
          <w:rFonts w:ascii="Gisha" w:hAnsi="Gisha" w:cs="Gisha" w:hint="cs"/>
          <w:b/>
          <w:bCs/>
          <w:sz w:val="28"/>
          <w:szCs w:val="28"/>
          <w:rtl/>
        </w:rPr>
        <w:t>הערכה עצמית של בריאות</w:t>
      </w:r>
      <w:r w:rsidR="00C60CBE" w:rsidRPr="003F5502">
        <w:rPr>
          <w:rFonts w:ascii="Gisha" w:hAnsi="Gisha" w:cs="Gisha" w:hint="cs"/>
          <w:b/>
          <w:bCs/>
          <w:sz w:val="28"/>
          <w:szCs w:val="28"/>
          <w:rtl/>
        </w:rPr>
        <w:t xml:space="preserve"> </w:t>
      </w:r>
    </w:p>
    <w:p w:rsidR="003230C1" w:rsidRDefault="00025DE6" w:rsidP="00162EF9">
      <w:pPr>
        <w:spacing w:line="360" w:lineRule="auto"/>
        <w:jc w:val="both"/>
        <w:rPr>
          <w:rFonts w:ascii="Gisha" w:hAnsi="Gisha" w:cs="Gisha"/>
          <w:sz w:val="22"/>
          <w:szCs w:val="22"/>
          <w:rtl/>
        </w:rPr>
      </w:pPr>
      <w:r w:rsidRPr="00C60CBE">
        <w:rPr>
          <w:rFonts w:ascii="Gisha" w:hAnsi="Gisha" w:cs="Gisha" w:hint="cs"/>
          <w:sz w:val="22"/>
          <w:szCs w:val="22"/>
          <w:rtl/>
        </w:rPr>
        <w:t xml:space="preserve">על הפערים במדדי בריאות ניתן ללמוד גם מהשימוש במדדים </w:t>
      </w:r>
      <w:r w:rsidR="002C78F1" w:rsidRPr="00C60CBE">
        <w:rPr>
          <w:rFonts w:ascii="Gisha" w:hAnsi="Gisha" w:cs="Gisha" w:hint="cs"/>
          <w:sz w:val="22"/>
          <w:szCs w:val="22"/>
          <w:rtl/>
        </w:rPr>
        <w:t>סובייקטיביים</w:t>
      </w:r>
      <w:r w:rsidRPr="00C60CBE">
        <w:rPr>
          <w:rFonts w:ascii="Gisha" w:hAnsi="Gisha" w:cs="Gisha" w:hint="cs"/>
          <w:sz w:val="22"/>
          <w:szCs w:val="22"/>
          <w:rtl/>
        </w:rPr>
        <w:t xml:space="preserve">. לדוגמא, </w:t>
      </w:r>
      <w:r w:rsidR="006534D8">
        <w:rPr>
          <w:rFonts w:ascii="Gisha" w:hAnsi="Gisha" w:cs="Gisha" w:hint="cs"/>
          <w:sz w:val="22"/>
          <w:szCs w:val="22"/>
          <w:rtl/>
        </w:rPr>
        <w:t xml:space="preserve">באמצעות </w:t>
      </w:r>
      <w:r w:rsidRPr="00C60CBE">
        <w:rPr>
          <w:rFonts w:ascii="Gisha" w:hAnsi="Gisha" w:cs="Gisha" w:hint="cs"/>
          <w:sz w:val="22"/>
          <w:szCs w:val="22"/>
          <w:rtl/>
        </w:rPr>
        <w:t xml:space="preserve">הערכה עצמית של הבריאות, </w:t>
      </w:r>
      <w:r w:rsidR="00162EF9">
        <w:rPr>
          <w:rFonts w:ascii="Gisha" w:hAnsi="Gisha" w:cs="Gisha" w:hint="cs"/>
          <w:sz w:val="22"/>
          <w:szCs w:val="22"/>
          <w:rtl/>
        </w:rPr>
        <w:t>ה</w:t>
      </w:r>
      <w:r w:rsidR="00162EF9" w:rsidRPr="00C60CBE">
        <w:rPr>
          <w:rFonts w:ascii="Gisha" w:hAnsi="Gisha" w:cs="Gisha" w:hint="cs"/>
          <w:sz w:val="22"/>
          <w:szCs w:val="22"/>
          <w:rtl/>
        </w:rPr>
        <w:t xml:space="preserve">נבדקת </w:t>
      </w:r>
      <w:r w:rsidR="00C60CBE" w:rsidRPr="00C60CBE">
        <w:rPr>
          <w:rFonts w:ascii="Gisha" w:hAnsi="Gisha" w:cs="Gisha" w:hint="cs"/>
          <w:sz w:val="22"/>
          <w:szCs w:val="22"/>
          <w:rtl/>
        </w:rPr>
        <w:t xml:space="preserve">בעקביות בסקרים חברתיים של הלשכה המרכזית </w:t>
      </w:r>
      <w:r w:rsidR="002C78F1" w:rsidRPr="00C60CBE">
        <w:rPr>
          <w:rFonts w:ascii="Gisha" w:hAnsi="Gisha" w:cs="Gisha" w:hint="cs"/>
          <w:sz w:val="22"/>
          <w:szCs w:val="22"/>
          <w:rtl/>
        </w:rPr>
        <w:t>לסטטיסטיקה</w:t>
      </w:r>
      <w:r w:rsidR="00C60CBE" w:rsidRPr="00C60CBE">
        <w:rPr>
          <w:rFonts w:ascii="Gisha" w:hAnsi="Gisha" w:cs="Gisha" w:hint="cs"/>
          <w:sz w:val="22"/>
          <w:szCs w:val="22"/>
          <w:rtl/>
        </w:rPr>
        <w:t xml:space="preserve">. </w:t>
      </w:r>
      <w:r w:rsidRPr="00C60CBE">
        <w:rPr>
          <w:rFonts w:ascii="Gisha" w:hAnsi="Gisha" w:cs="Gisha" w:hint="cs"/>
          <w:sz w:val="22"/>
          <w:szCs w:val="22"/>
          <w:rtl/>
        </w:rPr>
        <w:t xml:space="preserve"> </w:t>
      </w:r>
      <w:r w:rsidR="00613221">
        <w:rPr>
          <w:rFonts w:ascii="Gisha" w:hAnsi="Gisha" w:cs="Gisha" w:hint="cs"/>
          <w:sz w:val="22"/>
          <w:szCs w:val="22"/>
          <w:rtl/>
        </w:rPr>
        <w:t xml:space="preserve">תרשים 5 מציג שיעורים מתוקננים של </w:t>
      </w:r>
      <w:r w:rsidR="00787E51">
        <w:rPr>
          <w:rFonts w:ascii="Gisha" w:hAnsi="Gisha" w:cs="Gisha" w:hint="cs"/>
          <w:sz w:val="22"/>
          <w:szCs w:val="22"/>
          <w:rtl/>
        </w:rPr>
        <w:t>ה</w:t>
      </w:r>
      <w:r w:rsidR="00613221">
        <w:rPr>
          <w:rFonts w:ascii="Gisha" w:hAnsi="Gisha" w:cs="Gisha" w:hint="cs"/>
          <w:sz w:val="22"/>
          <w:szCs w:val="22"/>
          <w:rtl/>
        </w:rPr>
        <w:t>מעריכים את בריאותם כטובה מאוד, לפי מדדי רקע דמוגרפיים וחברתיים-כלכליים שונים.</w:t>
      </w:r>
      <w:r w:rsidR="003230C1">
        <w:rPr>
          <w:rFonts w:ascii="Gisha" w:hAnsi="Gisha" w:cs="Gisha" w:hint="cs"/>
          <w:sz w:val="22"/>
          <w:szCs w:val="22"/>
          <w:rtl/>
        </w:rPr>
        <w:t xml:space="preserve"> מקור הנתונים הוא </w:t>
      </w:r>
      <w:r w:rsidR="006534D8">
        <w:rPr>
          <w:rFonts w:ascii="Gisha" w:hAnsi="Gisha" w:cs="Gisha" w:hint="cs"/>
          <w:sz w:val="22"/>
          <w:szCs w:val="22"/>
          <w:rtl/>
        </w:rPr>
        <w:t>ה</w:t>
      </w:r>
      <w:r w:rsidR="003230C1">
        <w:rPr>
          <w:rFonts w:ascii="Gisha" w:hAnsi="Gisha" w:cs="Gisha" w:hint="cs"/>
          <w:sz w:val="22"/>
          <w:szCs w:val="22"/>
          <w:rtl/>
        </w:rPr>
        <w:t xml:space="preserve">סקר </w:t>
      </w:r>
      <w:r w:rsidR="006534D8">
        <w:rPr>
          <w:rFonts w:ascii="Gisha" w:hAnsi="Gisha" w:cs="Gisha" w:hint="cs"/>
          <w:sz w:val="22"/>
          <w:szCs w:val="22"/>
          <w:rtl/>
        </w:rPr>
        <w:t>ה</w:t>
      </w:r>
      <w:r w:rsidR="003230C1">
        <w:rPr>
          <w:rFonts w:ascii="Gisha" w:hAnsi="Gisha" w:cs="Gisha" w:hint="cs"/>
          <w:sz w:val="22"/>
          <w:szCs w:val="22"/>
          <w:rtl/>
        </w:rPr>
        <w:t>חברתי משנת 2014.</w:t>
      </w:r>
    </w:p>
    <w:p w:rsidR="003230C1" w:rsidRDefault="00613221" w:rsidP="003230C1">
      <w:pPr>
        <w:spacing w:line="360" w:lineRule="auto"/>
        <w:jc w:val="both"/>
        <w:rPr>
          <w:rFonts w:ascii="Gisha" w:hAnsi="Gisha" w:cs="Gisha"/>
          <w:sz w:val="22"/>
          <w:szCs w:val="22"/>
          <w:rtl/>
        </w:rPr>
      </w:pPr>
      <w:r>
        <w:rPr>
          <w:rFonts w:ascii="Gisha" w:hAnsi="Gisha" w:cs="Gisha" w:hint="cs"/>
          <w:sz w:val="22"/>
          <w:szCs w:val="22"/>
          <w:rtl/>
        </w:rPr>
        <w:t xml:space="preserve">אלמנים, עולי 1990+, </w:t>
      </w:r>
      <w:r w:rsidR="003230C1">
        <w:rPr>
          <w:rFonts w:ascii="Gisha" w:hAnsi="Gisha" w:cs="Gisha" w:hint="cs"/>
          <w:sz w:val="22"/>
          <w:szCs w:val="22"/>
          <w:rtl/>
        </w:rPr>
        <w:t xml:space="preserve">יהודים </w:t>
      </w:r>
      <w:r>
        <w:rPr>
          <w:rFonts w:ascii="Gisha" w:hAnsi="Gisha" w:cs="Gisha" w:hint="cs"/>
          <w:sz w:val="22"/>
          <w:szCs w:val="22"/>
          <w:rtl/>
        </w:rPr>
        <w:t xml:space="preserve">מסורתיים </w:t>
      </w:r>
      <w:r w:rsidR="003230C1">
        <w:rPr>
          <w:rFonts w:ascii="Gisha" w:hAnsi="Gisha" w:cs="Gisha" w:hint="cs"/>
          <w:sz w:val="22"/>
          <w:szCs w:val="22"/>
          <w:rtl/>
        </w:rPr>
        <w:t>ו</w:t>
      </w:r>
      <w:r>
        <w:rPr>
          <w:rFonts w:ascii="Gisha" w:hAnsi="Gisha" w:cs="Gisha" w:hint="cs"/>
          <w:sz w:val="22"/>
          <w:szCs w:val="22"/>
          <w:rtl/>
        </w:rPr>
        <w:t>ערבים</w:t>
      </w:r>
      <w:r w:rsidR="003230C1">
        <w:rPr>
          <w:rFonts w:ascii="Gisha" w:hAnsi="Gisha" w:cs="Gisha" w:hint="cs"/>
          <w:sz w:val="22"/>
          <w:szCs w:val="22"/>
          <w:rtl/>
        </w:rPr>
        <w:t xml:space="preserve"> דתיים</w:t>
      </w:r>
      <w:r>
        <w:rPr>
          <w:rFonts w:ascii="Gisha" w:hAnsi="Gisha" w:cs="Gisha" w:hint="cs"/>
          <w:sz w:val="22"/>
          <w:szCs w:val="22"/>
          <w:rtl/>
        </w:rPr>
        <w:t>, בעלי השכלה יסודית/</w:t>
      </w:r>
      <w:r w:rsidR="003230C1">
        <w:rPr>
          <w:rFonts w:ascii="Gisha" w:hAnsi="Gisha" w:cs="Gisha" w:hint="cs"/>
          <w:sz w:val="22"/>
          <w:szCs w:val="22"/>
          <w:rtl/>
        </w:rPr>
        <w:t>חטיבת</w:t>
      </w:r>
      <w:r>
        <w:rPr>
          <w:rFonts w:ascii="Gisha" w:hAnsi="Gisha" w:cs="Gisha" w:hint="cs"/>
          <w:sz w:val="22"/>
          <w:szCs w:val="22"/>
          <w:rtl/>
        </w:rPr>
        <w:t xml:space="preserve"> ביניים ללא תעודה, </w:t>
      </w:r>
      <w:r w:rsidR="006534D8">
        <w:rPr>
          <w:rFonts w:ascii="Gisha" w:hAnsi="Gisha" w:cs="Gisha" w:hint="cs"/>
          <w:sz w:val="22"/>
          <w:szCs w:val="22"/>
          <w:rtl/>
        </w:rPr>
        <w:t>ו</w:t>
      </w:r>
      <w:r>
        <w:rPr>
          <w:rFonts w:ascii="Gisha" w:hAnsi="Gisha" w:cs="Gisha" w:hint="cs"/>
          <w:sz w:val="22"/>
          <w:szCs w:val="22"/>
          <w:rtl/>
        </w:rPr>
        <w:t xml:space="preserve">בעלי הכנסה נמוכה </w:t>
      </w:r>
      <w:r>
        <w:rPr>
          <w:rFonts w:ascii="Gisha" w:hAnsi="Gisha" w:cs="Gisha"/>
          <w:sz w:val="22"/>
          <w:szCs w:val="22"/>
          <w:rtl/>
        </w:rPr>
        <w:t>–</w:t>
      </w:r>
      <w:r>
        <w:rPr>
          <w:rFonts w:ascii="Gisha" w:hAnsi="Gisha" w:cs="Gisha" w:hint="cs"/>
          <w:sz w:val="22"/>
          <w:szCs w:val="22"/>
          <w:rtl/>
        </w:rPr>
        <w:t xml:space="preserve"> כל אלה מציגים שיעורים נמוכים ביותר </w:t>
      </w:r>
      <w:r w:rsidR="003230C1">
        <w:rPr>
          <w:rFonts w:ascii="Gisha" w:hAnsi="Gisha" w:cs="Gisha" w:hint="cs"/>
          <w:sz w:val="22"/>
          <w:szCs w:val="22"/>
          <w:rtl/>
        </w:rPr>
        <w:t>של הערכת בריאות עצמית טובה</w:t>
      </w:r>
      <w:r w:rsidR="00787E51">
        <w:rPr>
          <w:rFonts w:ascii="Gisha" w:hAnsi="Gisha" w:cs="Gisha" w:hint="cs"/>
          <w:sz w:val="22"/>
          <w:szCs w:val="22"/>
          <w:rtl/>
        </w:rPr>
        <w:t xml:space="preserve"> מאוד</w:t>
      </w:r>
      <w:r w:rsidR="003230C1">
        <w:rPr>
          <w:rFonts w:ascii="Gisha" w:hAnsi="Gisha" w:cs="Gisha" w:hint="cs"/>
          <w:sz w:val="22"/>
          <w:szCs w:val="22"/>
          <w:rtl/>
        </w:rPr>
        <w:t>.</w:t>
      </w:r>
    </w:p>
    <w:p w:rsidR="00544C82" w:rsidRDefault="00544C82" w:rsidP="00544C82">
      <w:pPr>
        <w:spacing w:line="360" w:lineRule="auto"/>
        <w:jc w:val="both"/>
        <w:rPr>
          <w:rFonts w:ascii="Gisha" w:hAnsi="Gisha" w:cs="Gisha"/>
          <w:sz w:val="22"/>
          <w:szCs w:val="22"/>
          <w:rtl/>
        </w:rPr>
      </w:pPr>
      <w:r w:rsidRPr="00544C82">
        <w:rPr>
          <w:rFonts w:ascii="Gisha" w:hAnsi="Gisha" w:cs="Gisha" w:hint="cs"/>
          <w:sz w:val="22"/>
          <w:szCs w:val="22"/>
          <w:rtl/>
        </w:rPr>
        <w:t xml:space="preserve">במטרה לעקוב אחר </w:t>
      </w:r>
      <w:r>
        <w:rPr>
          <w:rFonts w:ascii="Gisha" w:hAnsi="Gisha" w:cs="Gisha" w:hint="cs"/>
          <w:sz w:val="22"/>
          <w:szCs w:val="22"/>
          <w:rtl/>
        </w:rPr>
        <w:t>ה</w:t>
      </w:r>
      <w:r w:rsidRPr="00544C82">
        <w:rPr>
          <w:rFonts w:ascii="Gisha" w:hAnsi="Gisha" w:cs="Gisha" w:hint="cs"/>
          <w:sz w:val="22"/>
          <w:szCs w:val="22"/>
          <w:rtl/>
        </w:rPr>
        <w:t>מגמות בהערכה עצמית של בריאות בקבוצות</w:t>
      </w:r>
      <w:r>
        <w:rPr>
          <w:rFonts w:ascii="Gisha" w:hAnsi="Gisha" w:cs="Gisha" w:hint="cs"/>
          <w:sz w:val="22"/>
          <w:szCs w:val="22"/>
          <w:rtl/>
        </w:rPr>
        <w:t xml:space="preserve"> חברתיות ודמוגרפיות </w:t>
      </w:r>
      <w:r w:rsidRPr="00544C82">
        <w:rPr>
          <w:rFonts w:ascii="Gisha" w:hAnsi="Gisha" w:cs="Gisha" w:hint="cs"/>
          <w:sz w:val="22"/>
          <w:szCs w:val="22"/>
          <w:rtl/>
        </w:rPr>
        <w:t xml:space="preserve">השונות, ערכנו השוואה </w:t>
      </w:r>
      <w:r>
        <w:rPr>
          <w:rFonts w:ascii="Gisha" w:hAnsi="Gisha" w:cs="Gisha" w:hint="cs"/>
          <w:sz w:val="22"/>
          <w:szCs w:val="22"/>
          <w:rtl/>
        </w:rPr>
        <w:t xml:space="preserve">של </w:t>
      </w:r>
      <w:r w:rsidRPr="00544C82">
        <w:rPr>
          <w:rFonts w:ascii="Gisha" w:hAnsi="Gisha" w:cs="Gisha" w:hint="cs"/>
          <w:sz w:val="22"/>
          <w:szCs w:val="22"/>
          <w:rtl/>
        </w:rPr>
        <w:t xml:space="preserve">נתוני 2014 עם </w:t>
      </w:r>
      <w:r>
        <w:rPr>
          <w:rFonts w:ascii="Gisha" w:hAnsi="Gisha" w:cs="Gisha" w:hint="cs"/>
          <w:sz w:val="22"/>
          <w:szCs w:val="22"/>
          <w:rtl/>
        </w:rPr>
        <w:t>ה</w:t>
      </w:r>
      <w:r w:rsidRPr="00544C82">
        <w:rPr>
          <w:rFonts w:ascii="Gisha" w:hAnsi="Gisha" w:cs="Gisha" w:hint="cs"/>
          <w:sz w:val="22"/>
          <w:szCs w:val="22"/>
          <w:rtl/>
        </w:rPr>
        <w:t>נתוני</w:t>
      </w:r>
      <w:r>
        <w:rPr>
          <w:rFonts w:ascii="Gisha" w:hAnsi="Gisha" w:cs="Gisha" w:hint="cs"/>
          <w:sz w:val="22"/>
          <w:szCs w:val="22"/>
          <w:rtl/>
        </w:rPr>
        <w:t>ם מתוך ה</w:t>
      </w:r>
      <w:r w:rsidRPr="00544C82">
        <w:rPr>
          <w:rFonts w:ascii="Gisha" w:hAnsi="Gisha" w:cs="Gisha" w:hint="cs"/>
          <w:sz w:val="22"/>
          <w:szCs w:val="22"/>
          <w:rtl/>
        </w:rPr>
        <w:t xml:space="preserve">סקר </w:t>
      </w:r>
      <w:r>
        <w:rPr>
          <w:rFonts w:ascii="Gisha" w:hAnsi="Gisha" w:cs="Gisha" w:hint="cs"/>
          <w:sz w:val="22"/>
          <w:szCs w:val="22"/>
          <w:rtl/>
        </w:rPr>
        <w:t>ה</w:t>
      </w:r>
      <w:r w:rsidRPr="00544C82">
        <w:rPr>
          <w:rFonts w:ascii="Gisha" w:hAnsi="Gisha" w:cs="Gisha" w:hint="cs"/>
          <w:sz w:val="22"/>
          <w:szCs w:val="22"/>
          <w:rtl/>
        </w:rPr>
        <w:t>חברתי משנת 2010. מהבדיקה הסתבר, כי לא חל כל שינוי משמעותי בתקופה זו</w:t>
      </w:r>
      <w:r w:rsidR="005E0FDC">
        <w:rPr>
          <w:rFonts w:ascii="Gisha" w:hAnsi="Gisha" w:cs="Gisha" w:hint="cs"/>
          <w:sz w:val="22"/>
          <w:szCs w:val="22"/>
          <w:rtl/>
        </w:rPr>
        <w:t>,</w:t>
      </w:r>
      <w:r w:rsidRPr="00544C82">
        <w:rPr>
          <w:rFonts w:ascii="Gisha" w:hAnsi="Gisha" w:cs="Gisha" w:hint="cs"/>
          <w:sz w:val="22"/>
          <w:szCs w:val="22"/>
          <w:rtl/>
        </w:rPr>
        <w:t xml:space="preserve"> לא מבחינת </w:t>
      </w:r>
      <w:r>
        <w:rPr>
          <w:rFonts w:ascii="Gisha" w:hAnsi="Gisha" w:cs="Gisha" w:hint="cs"/>
          <w:sz w:val="22"/>
          <w:szCs w:val="22"/>
          <w:rtl/>
        </w:rPr>
        <w:t xml:space="preserve">שיעור </w:t>
      </w:r>
      <w:r w:rsidR="006534D8">
        <w:rPr>
          <w:rFonts w:ascii="Gisha" w:hAnsi="Gisha" w:cs="Gisha" w:hint="cs"/>
          <w:sz w:val="22"/>
          <w:szCs w:val="22"/>
          <w:rtl/>
        </w:rPr>
        <w:t>ה</w:t>
      </w:r>
      <w:r w:rsidR="001C6D5D">
        <w:rPr>
          <w:rFonts w:ascii="Gisha" w:hAnsi="Gisha" w:cs="Gisha" w:hint="cs"/>
          <w:sz w:val="22"/>
          <w:szCs w:val="22"/>
          <w:rtl/>
        </w:rPr>
        <w:t>אנשים ש</w:t>
      </w:r>
      <w:r>
        <w:rPr>
          <w:rFonts w:ascii="Gisha" w:hAnsi="Gisha" w:cs="Gisha" w:hint="cs"/>
          <w:sz w:val="22"/>
          <w:szCs w:val="22"/>
          <w:rtl/>
        </w:rPr>
        <w:t xml:space="preserve">מעריכים את בריאותם כטובה מאוד </w:t>
      </w:r>
      <w:r w:rsidRPr="00544C82">
        <w:rPr>
          <w:rFonts w:ascii="Gisha" w:hAnsi="Gisha" w:cs="Gisha" w:hint="cs"/>
          <w:sz w:val="22"/>
          <w:szCs w:val="22"/>
          <w:rtl/>
        </w:rPr>
        <w:t xml:space="preserve">בתוך הקבוצות ולא בין הקבוצות. </w:t>
      </w:r>
      <w:r>
        <w:rPr>
          <w:rFonts w:ascii="Gisha" w:hAnsi="Gisha" w:cs="Gisha" w:hint="cs"/>
          <w:sz w:val="22"/>
          <w:szCs w:val="22"/>
          <w:rtl/>
        </w:rPr>
        <w:t>כלומר, ההבדלים בין הקבוצות הם עקביים ונשמרים לאורך זמן.</w:t>
      </w:r>
    </w:p>
    <w:p w:rsidR="00613221" w:rsidRDefault="00613221" w:rsidP="00C60CBE">
      <w:pPr>
        <w:spacing w:line="360" w:lineRule="auto"/>
        <w:rPr>
          <w:rFonts w:ascii="Gisha" w:hAnsi="Gisha" w:cs="Gisha"/>
          <w:sz w:val="22"/>
          <w:szCs w:val="22"/>
          <w:rtl/>
        </w:rPr>
      </w:pPr>
    </w:p>
    <w:p w:rsidR="00477BB5" w:rsidRDefault="00477BB5" w:rsidP="00C60CBE">
      <w:pPr>
        <w:spacing w:line="360" w:lineRule="auto"/>
        <w:rPr>
          <w:rFonts w:ascii="Gisha" w:hAnsi="Gisha" w:cs="Gisha"/>
          <w:sz w:val="22"/>
          <w:szCs w:val="22"/>
          <w:rtl/>
        </w:rPr>
      </w:pPr>
    </w:p>
    <w:p w:rsidR="005A340C" w:rsidRPr="00AB3189" w:rsidRDefault="00613221" w:rsidP="00E57218">
      <w:pPr>
        <w:spacing w:after="0" w:line="24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>
        <w:rPr>
          <w:rFonts w:ascii="Gisha" w:hAnsi="Gisha" w:cs="Gisha" w:hint="cs"/>
          <w:b/>
          <w:bCs/>
          <w:sz w:val="22"/>
          <w:szCs w:val="22"/>
          <w:rtl/>
        </w:rPr>
        <w:lastRenderedPageBreak/>
        <w:t>תרשים 5.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אחוז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בני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20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ומעלה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שהעריכו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את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בריאותם</w:t>
      </w:r>
      <w:r w:rsidR="00E57218">
        <w:rPr>
          <w:rFonts w:ascii="Gisha" w:hAnsi="Gisha" w:cs="Gisha" w:hint="cs"/>
          <w:b/>
          <w:bCs/>
          <w:sz w:val="22"/>
          <w:szCs w:val="22"/>
          <w:rtl/>
        </w:rPr>
        <w:t>*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כטובה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מאוד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לפי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תכונות</w:t>
      </w:r>
      <w:r w:rsidR="005A340C"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="005A340C" w:rsidRPr="00AB3189">
        <w:rPr>
          <w:rFonts w:ascii="Gisha" w:hAnsi="Gisha" w:cs="Gisha" w:hint="cs"/>
          <w:b/>
          <w:bCs/>
          <w:sz w:val="22"/>
          <w:szCs w:val="22"/>
          <w:rtl/>
        </w:rPr>
        <w:t>נבחרות</w:t>
      </w:r>
    </w:p>
    <w:p w:rsidR="005A340C" w:rsidRPr="00AB3189" w:rsidRDefault="005A340C" w:rsidP="002A1392">
      <w:pPr>
        <w:spacing w:after="0" w:line="240" w:lineRule="auto"/>
        <w:jc w:val="center"/>
        <w:rPr>
          <w:rFonts w:ascii="Gisha" w:hAnsi="Gisha" w:cs="Gisha"/>
          <w:b/>
          <w:bCs/>
          <w:sz w:val="22"/>
          <w:szCs w:val="22"/>
          <w:rtl/>
        </w:rPr>
      </w:pPr>
      <w:r w:rsidRPr="00AB3189">
        <w:rPr>
          <w:rFonts w:ascii="Gisha" w:hAnsi="Gisha" w:cs="Gisha" w:hint="cs"/>
          <w:b/>
          <w:bCs/>
          <w:sz w:val="22"/>
          <w:szCs w:val="22"/>
          <w:rtl/>
        </w:rPr>
        <w:t>שיעור</w:t>
      </w:r>
      <w:r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Pr="00AB3189">
        <w:rPr>
          <w:rFonts w:ascii="Gisha" w:hAnsi="Gisha" w:cs="Gisha" w:hint="cs"/>
          <w:b/>
          <w:bCs/>
          <w:sz w:val="22"/>
          <w:szCs w:val="22"/>
          <w:rtl/>
        </w:rPr>
        <w:t>מתוקנן</w:t>
      </w:r>
      <w:r w:rsidRPr="00AB3189">
        <w:rPr>
          <w:rFonts w:ascii="Gisha" w:hAnsi="Gisha" w:cs="Gisha"/>
          <w:b/>
          <w:bCs/>
          <w:sz w:val="22"/>
          <w:szCs w:val="22"/>
          <w:rtl/>
        </w:rPr>
        <w:t xml:space="preserve"> </w:t>
      </w:r>
      <w:r w:rsidRPr="00AB3189">
        <w:rPr>
          <w:rFonts w:ascii="Gisha" w:hAnsi="Gisha" w:cs="Gisha" w:hint="cs"/>
          <w:b/>
          <w:bCs/>
          <w:sz w:val="22"/>
          <w:szCs w:val="22"/>
          <w:rtl/>
        </w:rPr>
        <w:t>לגיל</w:t>
      </w:r>
      <w:r w:rsidRPr="00AB3189">
        <w:rPr>
          <w:rFonts w:ascii="Gisha" w:hAnsi="Gisha" w:cs="Gisha"/>
          <w:b/>
          <w:bCs/>
          <w:sz w:val="22"/>
          <w:szCs w:val="22"/>
          <w:rtl/>
        </w:rPr>
        <w:t>, 2014</w:t>
      </w:r>
    </w:p>
    <w:p w:rsidR="009A4F62" w:rsidRDefault="009A4F62">
      <w:pPr>
        <w:rPr>
          <w:rtl/>
        </w:rPr>
      </w:pPr>
    </w:p>
    <w:p w:rsidR="009A4F62" w:rsidRPr="00544C82" w:rsidRDefault="000C0828">
      <w:pPr>
        <w:rPr>
          <w:rtl/>
        </w:rPr>
      </w:pPr>
      <w:r w:rsidRPr="00544C82">
        <w:rPr>
          <w:noProof/>
        </w:rPr>
        <w:drawing>
          <wp:inline distT="0" distB="0" distL="0" distR="0" wp14:anchorId="0E00A788" wp14:editId="4A27D683">
            <wp:extent cx="5392132" cy="7051250"/>
            <wp:effectExtent l="0" t="0" r="18415" b="16510"/>
            <wp:docPr id="5" name="תרשים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0513" w:rsidRDefault="003D0513" w:rsidP="00E57218">
      <w:pPr>
        <w:pStyle w:val="a3"/>
        <w:rPr>
          <w:rFonts w:ascii="Gisha" w:hAnsi="Gisha" w:cs="Gisha"/>
          <w:sz w:val="16"/>
          <w:szCs w:val="16"/>
          <w:rtl/>
        </w:rPr>
      </w:pPr>
    </w:p>
    <w:p w:rsidR="00E57218" w:rsidRPr="00544C82" w:rsidRDefault="00E57218" w:rsidP="00E57218">
      <w:pPr>
        <w:pStyle w:val="a3"/>
        <w:rPr>
          <w:rFonts w:ascii="Gisha" w:hAnsi="Gisha" w:cs="Gisha"/>
          <w:sz w:val="16"/>
          <w:szCs w:val="16"/>
          <w:rtl/>
        </w:rPr>
      </w:pPr>
      <w:r w:rsidRPr="00544C82">
        <w:rPr>
          <w:rFonts w:ascii="Gisha" w:hAnsi="Gisha" w:cs="Gisha" w:hint="cs"/>
          <w:sz w:val="16"/>
          <w:szCs w:val="16"/>
          <w:rtl/>
        </w:rPr>
        <w:t xml:space="preserve">*) </w:t>
      </w:r>
      <w:r w:rsidRPr="00544C82">
        <w:rPr>
          <w:rFonts w:ascii="Gisha" w:hAnsi="Gisha" w:cs="Gisha"/>
          <w:sz w:val="16"/>
          <w:szCs w:val="16"/>
          <w:rtl/>
        </w:rPr>
        <w:t>מבוסס על השאלה</w:t>
      </w:r>
      <w:r w:rsidR="006534D8">
        <w:rPr>
          <w:rFonts w:ascii="Gisha" w:hAnsi="Gisha" w:cs="Gisha" w:hint="cs"/>
          <w:sz w:val="16"/>
          <w:szCs w:val="16"/>
          <w:rtl/>
        </w:rPr>
        <w:t>:</w:t>
      </w:r>
      <w:r w:rsidRPr="00544C82">
        <w:rPr>
          <w:rFonts w:ascii="Gisha" w:hAnsi="Gisha" w:cs="Gisha"/>
          <w:sz w:val="16"/>
          <w:szCs w:val="16"/>
          <w:rtl/>
        </w:rPr>
        <w:t xml:space="preserve"> "מהו מצב בריאותך בדרך כלל?"</w:t>
      </w:r>
      <w:r w:rsidR="006534D8">
        <w:rPr>
          <w:rFonts w:ascii="Gisha" w:hAnsi="Gisha" w:cs="Gisha" w:hint="cs"/>
          <w:sz w:val="16"/>
          <w:szCs w:val="16"/>
          <w:rtl/>
        </w:rPr>
        <w:t>.</w:t>
      </w:r>
      <w:r w:rsidRPr="00544C82">
        <w:rPr>
          <w:rFonts w:ascii="Gisha" w:hAnsi="Gisha" w:cs="Gisha"/>
          <w:sz w:val="16"/>
          <w:szCs w:val="16"/>
          <w:rtl/>
        </w:rPr>
        <w:t xml:space="preserve"> מתוך הסקר החברתי של למ''ס לשנת 2014.</w:t>
      </w:r>
    </w:p>
    <w:p w:rsidR="001C6D5D" w:rsidRDefault="00E57218" w:rsidP="00E57218">
      <w:pPr>
        <w:pStyle w:val="a3"/>
        <w:rPr>
          <w:rFonts w:ascii="Gisha" w:hAnsi="Gisha" w:cs="Gisha"/>
          <w:sz w:val="16"/>
          <w:szCs w:val="16"/>
          <w:rtl/>
        </w:rPr>
      </w:pPr>
      <w:r w:rsidRPr="00544C82">
        <w:rPr>
          <w:rFonts w:ascii="Gisha" w:hAnsi="Gisha" w:cs="Gisha" w:hint="cs"/>
          <w:sz w:val="16"/>
          <w:szCs w:val="16"/>
          <w:rtl/>
        </w:rPr>
        <w:t xml:space="preserve">הערה: קטגוריות השכלה - תעודת סיום בי''ס יסודי או חטיבת ביניים ללא תעודה; תעודת סיום בי''ס תיכון (ללא תעודת בגרות). </w:t>
      </w:r>
    </w:p>
    <w:p w:rsidR="00E57218" w:rsidRPr="00544C82" w:rsidRDefault="00E57218" w:rsidP="00E57218">
      <w:pPr>
        <w:pStyle w:val="a3"/>
        <w:rPr>
          <w:rFonts w:ascii="Gisha" w:hAnsi="Gisha" w:cs="Gisha"/>
          <w:sz w:val="16"/>
          <w:szCs w:val="16"/>
          <w:rtl/>
        </w:rPr>
      </w:pPr>
      <w:r w:rsidRPr="00544C82">
        <w:rPr>
          <w:rFonts w:ascii="Gisha" w:hAnsi="Gisha" w:cs="Gisha" w:hint="cs"/>
          <w:sz w:val="16"/>
          <w:szCs w:val="16"/>
          <w:rtl/>
        </w:rPr>
        <w:t xml:space="preserve">קטגוריית דתיות </w:t>
      </w:r>
      <w:r w:rsidRPr="00544C82">
        <w:rPr>
          <w:rFonts w:ascii="Gisha" w:hAnsi="Gisha" w:cs="Gisha"/>
          <w:sz w:val="16"/>
          <w:szCs w:val="16"/>
          <w:rtl/>
        </w:rPr>
        <w:t>–</w:t>
      </w:r>
      <w:r w:rsidRPr="00544C82">
        <w:rPr>
          <w:rFonts w:ascii="Gisha" w:hAnsi="Gisha" w:cs="Gisha" w:hint="cs"/>
          <w:sz w:val="16"/>
          <w:szCs w:val="16"/>
          <w:rtl/>
        </w:rPr>
        <w:t xml:space="preserve"> "דתיים מאוד ודתיים, לא כל כך דתיים, לא דתיים" </w:t>
      </w:r>
      <w:r w:rsidRPr="00544C82">
        <w:rPr>
          <w:rFonts w:ascii="Gisha" w:hAnsi="Gisha" w:cs="Gisha"/>
          <w:sz w:val="16"/>
          <w:szCs w:val="16"/>
          <w:rtl/>
        </w:rPr>
        <w:t>–</w:t>
      </w:r>
      <w:r w:rsidRPr="00544C82">
        <w:rPr>
          <w:rFonts w:ascii="Gisha" w:hAnsi="Gisha" w:cs="Gisha" w:hint="cs"/>
          <w:sz w:val="16"/>
          <w:szCs w:val="16"/>
          <w:rtl/>
        </w:rPr>
        <w:t xml:space="preserve"> הכוונה היא לבני דתות אחרות, לא יהודים.</w:t>
      </w:r>
    </w:p>
    <w:p w:rsidR="00544C82" w:rsidRDefault="00544C82" w:rsidP="005F52A6">
      <w:pPr>
        <w:spacing w:after="0" w:line="240" w:lineRule="auto"/>
        <w:rPr>
          <w:rFonts w:ascii="Gisha" w:hAnsi="Gisha" w:cs="Gisha"/>
          <w:sz w:val="18"/>
          <w:szCs w:val="18"/>
          <w:rtl/>
        </w:rPr>
      </w:pPr>
    </w:p>
    <w:p w:rsidR="009A4F62" w:rsidRPr="00544C82" w:rsidRDefault="009A4F62" w:rsidP="005F52A6">
      <w:pPr>
        <w:spacing w:after="0" w:line="240" w:lineRule="auto"/>
        <w:rPr>
          <w:rFonts w:ascii="Gisha" w:hAnsi="Gisha" w:cs="Gisha"/>
          <w:sz w:val="16"/>
          <w:szCs w:val="16"/>
          <w:rtl/>
        </w:rPr>
      </w:pPr>
      <w:r w:rsidRPr="00544C82">
        <w:rPr>
          <w:rFonts w:ascii="Gisha" w:hAnsi="Gisha" w:cs="Gisha" w:hint="cs"/>
          <w:sz w:val="16"/>
          <w:szCs w:val="16"/>
          <w:rtl/>
        </w:rPr>
        <w:t xml:space="preserve">מקור: </w:t>
      </w:r>
      <w:r w:rsidR="005E0FDC">
        <w:rPr>
          <w:rFonts w:ascii="Gisha" w:hAnsi="Gisha" w:cs="Gisha" w:hint="cs"/>
          <w:sz w:val="16"/>
          <w:szCs w:val="16"/>
          <w:rtl/>
        </w:rPr>
        <w:t xml:space="preserve">למ"ס. </w:t>
      </w:r>
      <w:r w:rsidRPr="005E0FDC">
        <w:rPr>
          <w:rFonts w:ascii="Gisha" w:hAnsi="Gisha" w:cs="Gisha" w:hint="cs"/>
          <w:i/>
          <w:iCs/>
          <w:sz w:val="16"/>
          <w:szCs w:val="16"/>
          <w:rtl/>
        </w:rPr>
        <w:t>שנתון סטטיסטי לישראל</w:t>
      </w:r>
      <w:r w:rsidRPr="00544C82">
        <w:rPr>
          <w:rFonts w:ascii="Gisha" w:hAnsi="Gisha" w:cs="Gisha" w:hint="cs"/>
          <w:sz w:val="16"/>
          <w:szCs w:val="16"/>
          <w:rtl/>
        </w:rPr>
        <w:t>, 2016.</w:t>
      </w:r>
    </w:p>
    <w:p w:rsidR="009A4F62" w:rsidRPr="00544C82" w:rsidRDefault="009A4F62">
      <w:pPr>
        <w:rPr>
          <w:b/>
          <w:bCs/>
          <w:sz w:val="24"/>
          <w:szCs w:val="24"/>
        </w:rPr>
      </w:pPr>
    </w:p>
    <w:sectPr w:rsidR="009A4F62" w:rsidRPr="00544C82" w:rsidSect="002376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45" w:rsidRDefault="00767145" w:rsidP="008364A6">
      <w:pPr>
        <w:spacing w:after="0" w:line="240" w:lineRule="auto"/>
      </w:pPr>
      <w:r>
        <w:separator/>
      </w:r>
    </w:p>
  </w:endnote>
  <w:endnote w:type="continuationSeparator" w:id="0">
    <w:p w:rsidR="00767145" w:rsidRDefault="00767145" w:rsidP="008364A6">
      <w:pPr>
        <w:spacing w:after="0" w:line="240" w:lineRule="auto"/>
      </w:pPr>
      <w:r>
        <w:continuationSeparator/>
      </w:r>
    </w:p>
  </w:endnote>
  <w:endnote w:type="continuationNotice" w:id="1">
    <w:p w:rsidR="00767145" w:rsidRDefault="00767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84746615"/>
      <w:docPartObj>
        <w:docPartGallery w:val="Page Numbers (Bottom of Page)"/>
        <w:docPartUnique/>
      </w:docPartObj>
    </w:sdtPr>
    <w:sdtEndPr>
      <w:rPr>
        <w:cs/>
      </w:rPr>
    </w:sdtEndPr>
    <w:sdtContent>
      <w:p w:rsidR="00476624" w:rsidRDefault="00476624">
        <w:pPr>
          <w:pStyle w:val="af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215B1" w:rsidRPr="005215B1">
          <w:rPr>
            <w:noProof/>
            <w:rtl/>
            <w:lang w:val="he-IL"/>
          </w:rPr>
          <w:t>12</w:t>
        </w:r>
        <w:r>
          <w:fldChar w:fldCharType="end"/>
        </w:r>
      </w:p>
    </w:sdtContent>
  </w:sdt>
  <w:p w:rsidR="00B41CEF" w:rsidRDefault="00B41CE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84644671"/>
      <w:docPartObj>
        <w:docPartGallery w:val="Page Numbers (Bottom of Page)"/>
        <w:docPartUnique/>
      </w:docPartObj>
    </w:sdtPr>
    <w:sdtEndPr>
      <w:rPr>
        <w:cs/>
      </w:rPr>
    </w:sdtEndPr>
    <w:sdtContent>
      <w:p w:rsidR="00476624" w:rsidRDefault="00476624">
        <w:pPr>
          <w:pStyle w:val="af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215B1" w:rsidRPr="005215B1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:rsidR="00476624" w:rsidRDefault="0047662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24" w:rsidRDefault="0047662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45" w:rsidRDefault="00767145" w:rsidP="008364A6">
      <w:pPr>
        <w:spacing w:after="0" w:line="240" w:lineRule="auto"/>
      </w:pPr>
      <w:r>
        <w:separator/>
      </w:r>
    </w:p>
  </w:footnote>
  <w:footnote w:type="continuationSeparator" w:id="0">
    <w:p w:rsidR="00767145" w:rsidRDefault="00767145" w:rsidP="008364A6">
      <w:pPr>
        <w:spacing w:after="0" w:line="240" w:lineRule="auto"/>
      </w:pPr>
      <w:r>
        <w:continuationSeparator/>
      </w:r>
    </w:p>
  </w:footnote>
  <w:footnote w:type="continuationNotice" w:id="1">
    <w:p w:rsidR="00767145" w:rsidRDefault="00767145">
      <w:pPr>
        <w:spacing w:after="0" w:line="240" w:lineRule="auto"/>
      </w:pPr>
    </w:p>
  </w:footnote>
  <w:footnote w:id="2">
    <w:p w:rsidR="00721B1F" w:rsidRPr="00F809B3" w:rsidRDefault="00721B1F" w:rsidP="00DE29DA">
      <w:pPr>
        <w:pStyle w:val="a3"/>
        <w:rPr>
          <w:rFonts w:ascii="Gisha" w:hAnsi="Gisha" w:cs="Gisha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F809B3">
        <w:rPr>
          <w:rFonts w:ascii="Gisha" w:hAnsi="Gisha" w:cs="Gisha"/>
          <w:sz w:val="18"/>
          <w:szCs w:val="18"/>
          <w:rtl/>
        </w:rPr>
        <w:t>תוחלת חיים היא מספר השנים הממוצע</w:t>
      </w:r>
      <w:r>
        <w:rPr>
          <w:rFonts w:ascii="Gisha" w:hAnsi="Gisha" w:cs="Gisha" w:hint="cs"/>
          <w:sz w:val="18"/>
          <w:szCs w:val="18"/>
          <w:rtl/>
        </w:rPr>
        <w:t xml:space="preserve"> ש</w:t>
      </w:r>
      <w:r w:rsidRPr="00F809B3">
        <w:rPr>
          <w:rFonts w:ascii="Gisha" w:hAnsi="Gisha" w:cs="Gisha"/>
          <w:sz w:val="18"/>
          <w:szCs w:val="18"/>
          <w:rtl/>
        </w:rPr>
        <w:t>אדם צפוי לחיות מגיל מסוים, בהנחה ששיעורי התמותה הקיי</w:t>
      </w:r>
      <w:r>
        <w:rPr>
          <w:rFonts w:ascii="Gisha" w:hAnsi="Gisha" w:cs="Gisha" w:hint="cs"/>
          <w:sz w:val="18"/>
          <w:szCs w:val="18"/>
          <w:rtl/>
        </w:rPr>
        <w:t>מי</w:t>
      </w:r>
      <w:r w:rsidRPr="00F809B3">
        <w:rPr>
          <w:rFonts w:ascii="Gisha" w:hAnsi="Gisha" w:cs="Gisha"/>
          <w:sz w:val="18"/>
          <w:szCs w:val="18"/>
          <w:rtl/>
        </w:rPr>
        <w:t xml:space="preserve">ם בתקופת ההתייחסות יישארו קבועים לאורך </w:t>
      </w:r>
      <w:r>
        <w:rPr>
          <w:rFonts w:ascii="Gisha" w:hAnsi="Gisha" w:cs="Gisha" w:hint="cs"/>
          <w:sz w:val="18"/>
          <w:szCs w:val="18"/>
          <w:rtl/>
        </w:rPr>
        <w:t xml:space="preserve">כל </w:t>
      </w:r>
      <w:r w:rsidRPr="00F809B3">
        <w:rPr>
          <w:rFonts w:ascii="Gisha" w:hAnsi="Gisha" w:cs="Gisha"/>
          <w:sz w:val="18"/>
          <w:szCs w:val="18"/>
          <w:rtl/>
        </w:rPr>
        <w:t>חייו</w:t>
      </w:r>
      <w:r>
        <w:rPr>
          <w:rFonts w:ascii="Gisha" w:hAnsi="Gisha" w:cs="Gisha" w:hint="cs"/>
          <w:rtl/>
        </w:rPr>
        <w:t>.</w:t>
      </w:r>
    </w:p>
  </w:footnote>
  <w:footnote w:id="3">
    <w:p w:rsidR="00721B1F" w:rsidRPr="00F809B3" w:rsidRDefault="00721B1F" w:rsidP="009F6721">
      <w:pPr>
        <w:pStyle w:val="a3"/>
        <w:rPr>
          <w:rFonts w:ascii="Gisha" w:hAnsi="Gisha" w:cs="Gisha"/>
          <w:rtl/>
        </w:rPr>
      </w:pPr>
      <w:r w:rsidRPr="00F809B3">
        <w:rPr>
          <w:rStyle w:val="a5"/>
          <w:rFonts w:ascii="Gisha" w:hAnsi="Gisha" w:cs="Gisha"/>
        </w:rPr>
        <w:footnoteRef/>
      </w:r>
      <w:r w:rsidRPr="00F809B3">
        <w:rPr>
          <w:rFonts w:ascii="Gisha" w:hAnsi="Gisha" w:cs="Gisha"/>
          <w:rtl/>
        </w:rPr>
        <w:t xml:space="preserve"> </w:t>
      </w:r>
      <w:r w:rsidR="009F6721">
        <w:rPr>
          <w:rFonts w:ascii="Gisha" w:hAnsi="Gisha" w:cs="Gisha" w:hint="cs"/>
          <w:sz w:val="18"/>
          <w:szCs w:val="18"/>
          <w:rtl/>
        </w:rPr>
        <w:t>למ"ס</w:t>
      </w:r>
      <w:r w:rsidRPr="00F809B3">
        <w:rPr>
          <w:rFonts w:ascii="Gisha" w:hAnsi="Gisha" w:cs="Gisha"/>
          <w:sz w:val="18"/>
          <w:szCs w:val="18"/>
          <w:rtl/>
        </w:rPr>
        <w:t xml:space="preserve">. </w:t>
      </w:r>
      <w:r>
        <w:rPr>
          <w:rFonts w:ascii="Gisha" w:hAnsi="Gisha" w:cs="Gisha" w:hint="cs"/>
          <w:i/>
          <w:iCs/>
          <w:sz w:val="18"/>
          <w:szCs w:val="18"/>
          <w:rtl/>
        </w:rPr>
        <w:t>השנתון הסטטיסטי ל</w:t>
      </w:r>
      <w:r w:rsidRPr="00F809B3">
        <w:rPr>
          <w:rFonts w:ascii="Gisha" w:hAnsi="Gisha" w:cs="Gisha"/>
          <w:i/>
          <w:iCs/>
          <w:sz w:val="18"/>
          <w:szCs w:val="18"/>
          <w:rtl/>
        </w:rPr>
        <w:t>ישראל</w:t>
      </w:r>
      <w:r>
        <w:rPr>
          <w:rFonts w:ascii="Gisha" w:hAnsi="Gisha" w:cs="Gisha" w:hint="cs"/>
          <w:i/>
          <w:iCs/>
          <w:sz w:val="18"/>
          <w:szCs w:val="18"/>
          <w:rtl/>
        </w:rPr>
        <w:t xml:space="preserve"> 2016</w:t>
      </w:r>
      <w:r w:rsidRPr="00F809B3">
        <w:rPr>
          <w:rFonts w:ascii="Gisha" w:hAnsi="Gisha" w:cs="Gisha"/>
          <w:sz w:val="18"/>
          <w:szCs w:val="18"/>
          <w:rtl/>
        </w:rPr>
        <w:t>.</w:t>
      </w:r>
      <w:r w:rsidR="009F6721">
        <w:rPr>
          <w:rFonts w:ascii="Gisha" w:hAnsi="Gisha" w:cs="Gisha" w:hint="cs"/>
          <w:sz w:val="18"/>
          <w:szCs w:val="18"/>
          <w:rtl/>
        </w:rPr>
        <w:t xml:space="preserve"> </w:t>
      </w:r>
      <w:r w:rsidRPr="00F809B3">
        <w:rPr>
          <w:rFonts w:ascii="Gisha" w:hAnsi="Gisha" w:cs="Gisha"/>
          <w:sz w:val="18"/>
          <w:szCs w:val="18"/>
          <w:rtl/>
        </w:rPr>
        <w:t xml:space="preserve"> </w:t>
      </w:r>
      <w:r>
        <w:rPr>
          <w:rFonts w:ascii="Gisha" w:hAnsi="Gisha" w:cs="Gisha" w:hint="cs"/>
          <w:sz w:val="18"/>
          <w:szCs w:val="18"/>
          <w:rtl/>
        </w:rPr>
        <w:t>אתר הלמ''ס</w:t>
      </w:r>
      <w:r w:rsidRPr="00F809B3">
        <w:rPr>
          <w:rFonts w:ascii="Gisha" w:hAnsi="Gisha" w:cs="Gisha"/>
          <w:sz w:val="18"/>
          <w:szCs w:val="18"/>
          <w:rtl/>
        </w:rPr>
        <w:t>.</w:t>
      </w:r>
    </w:p>
  </w:footnote>
  <w:footnote w:id="4">
    <w:p w:rsidR="00721B1F" w:rsidRDefault="00721B1F" w:rsidP="008364A6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8E3948">
        <w:rPr>
          <w:rFonts w:ascii="Gisha" w:hAnsi="Gisha" w:cs="Gisha"/>
          <w:sz w:val="18"/>
          <w:szCs w:val="18"/>
          <w:rtl/>
        </w:rPr>
        <w:t xml:space="preserve">למ''ס. </w:t>
      </w:r>
      <w:r w:rsidRPr="008E3948">
        <w:rPr>
          <w:rFonts w:ascii="Gisha" w:hAnsi="Gisha" w:cs="Gisha"/>
          <w:i/>
          <w:iCs/>
          <w:sz w:val="18"/>
          <w:szCs w:val="18"/>
          <w:rtl/>
        </w:rPr>
        <w:t xml:space="preserve">שנתון סטטיסטי לישראל </w:t>
      </w:r>
      <w:r>
        <w:rPr>
          <w:rFonts w:ascii="Gisha" w:hAnsi="Gisha" w:cs="Gisha" w:hint="cs"/>
          <w:i/>
          <w:iCs/>
          <w:sz w:val="18"/>
          <w:szCs w:val="18"/>
          <w:rtl/>
        </w:rPr>
        <w:t>2016</w:t>
      </w:r>
      <w:r w:rsidRPr="008E3948">
        <w:rPr>
          <w:rFonts w:ascii="Gisha" w:hAnsi="Gisha" w:cs="Gisha"/>
          <w:sz w:val="18"/>
          <w:szCs w:val="18"/>
          <w:rtl/>
        </w:rPr>
        <w:t>.</w:t>
      </w:r>
    </w:p>
  </w:footnote>
  <w:footnote w:id="5">
    <w:p w:rsidR="00721B1F" w:rsidRPr="006A1E65" w:rsidRDefault="00721B1F" w:rsidP="00A8283A">
      <w:pPr>
        <w:pStyle w:val="a3"/>
        <w:rPr>
          <w:sz w:val="16"/>
          <w:szCs w:val="16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6A1E65">
        <w:rPr>
          <w:rFonts w:ascii="Gisha" w:hAnsi="Gisha" w:cs="Gisha" w:hint="cs"/>
          <w:sz w:val="18"/>
          <w:szCs w:val="18"/>
          <w:rtl/>
        </w:rPr>
        <w:t>ממוצע לשנים 2013-2015</w:t>
      </w:r>
    </w:p>
  </w:footnote>
  <w:footnote w:id="6">
    <w:p w:rsidR="00721B1F" w:rsidRPr="00A266E2" w:rsidRDefault="00721B1F" w:rsidP="008364A6">
      <w:pPr>
        <w:spacing w:after="0" w:line="240" w:lineRule="auto"/>
        <w:rPr>
          <w:rFonts w:ascii="Gisha" w:hAnsi="Gisha" w:cs="Gisha"/>
          <w:sz w:val="18"/>
          <w:szCs w:val="18"/>
          <w:rtl/>
        </w:rPr>
      </w:pPr>
      <w:r w:rsidRPr="008E3948">
        <w:rPr>
          <w:rStyle w:val="a5"/>
        </w:rPr>
        <w:footnoteRef/>
      </w:r>
      <w:r w:rsidRPr="008E3948">
        <w:rPr>
          <w:rtl/>
        </w:rPr>
        <w:t xml:space="preserve"> </w:t>
      </w:r>
      <w:r w:rsidRPr="00A266E2">
        <w:rPr>
          <w:rFonts w:ascii="Gisha" w:hAnsi="Gisha" w:cs="Gisha"/>
          <w:sz w:val="18"/>
          <w:szCs w:val="18"/>
          <w:rtl/>
        </w:rPr>
        <w:t xml:space="preserve">למ''ס. </w:t>
      </w:r>
      <w:r w:rsidRPr="00A266E2">
        <w:rPr>
          <w:rFonts w:ascii="Gisha" w:hAnsi="Gisha" w:cs="Gisha"/>
          <w:i/>
          <w:iCs/>
          <w:sz w:val="18"/>
          <w:szCs w:val="18"/>
          <w:rtl/>
        </w:rPr>
        <w:t>שנתון סטטיסטי לישראל</w:t>
      </w:r>
      <w:r w:rsidRPr="00A266E2">
        <w:rPr>
          <w:rFonts w:ascii="Gisha" w:hAnsi="Gisha" w:cs="Gisha"/>
          <w:sz w:val="18"/>
          <w:szCs w:val="18"/>
          <w:rtl/>
        </w:rPr>
        <w:t>, 201</w:t>
      </w:r>
      <w:r>
        <w:rPr>
          <w:rFonts w:ascii="Gisha" w:hAnsi="Gisha" w:cs="Gisha" w:hint="cs"/>
          <w:sz w:val="18"/>
          <w:szCs w:val="18"/>
          <w:rtl/>
        </w:rPr>
        <w:t>6</w:t>
      </w:r>
      <w:r w:rsidRPr="00A266E2">
        <w:rPr>
          <w:rFonts w:ascii="Gisha" w:hAnsi="Gisha" w:cs="Gisha"/>
          <w:sz w:val="18"/>
          <w:szCs w:val="18"/>
          <w:rtl/>
        </w:rPr>
        <w:t>.</w:t>
      </w:r>
    </w:p>
    <w:p w:rsidR="00721B1F" w:rsidRDefault="00721B1F" w:rsidP="008364A6">
      <w:pPr>
        <w:pStyle w:val="a3"/>
        <w:rPr>
          <w:rtl/>
        </w:rPr>
      </w:pPr>
      <w:r w:rsidRPr="008E3948">
        <w:rPr>
          <w:rFonts w:ascii="Gisha" w:hAnsi="Gisha" w:cs="Gisha"/>
          <w:sz w:val="18"/>
          <w:szCs w:val="18"/>
          <w:rtl/>
        </w:rPr>
        <w:t>.</w:t>
      </w:r>
    </w:p>
  </w:footnote>
  <w:footnote w:id="7">
    <w:p w:rsidR="00721B1F" w:rsidRPr="00721B1F" w:rsidRDefault="00721B1F" w:rsidP="00721B1F">
      <w:pPr>
        <w:pStyle w:val="a3"/>
        <w:rPr>
          <w:sz w:val="16"/>
          <w:szCs w:val="16"/>
        </w:rPr>
      </w:pPr>
      <w:r w:rsidRPr="00721B1F">
        <w:rPr>
          <w:rStyle w:val="a5"/>
          <w:sz w:val="16"/>
          <w:szCs w:val="16"/>
        </w:rPr>
        <w:footnoteRef/>
      </w:r>
      <w:r w:rsidRPr="00721B1F">
        <w:rPr>
          <w:sz w:val="16"/>
          <w:szCs w:val="16"/>
          <w:rtl/>
        </w:rPr>
        <w:t xml:space="preserve"> </w:t>
      </w:r>
      <w:r w:rsidRPr="00721B1F">
        <w:rPr>
          <w:rFonts w:ascii="Gisha" w:hAnsi="Gisha" w:cs="Gisha"/>
          <w:sz w:val="18"/>
          <w:szCs w:val="18"/>
          <w:rtl/>
        </w:rPr>
        <w:t>ממוצע לשנים 2010-201</w:t>
      </w:r>
      <w:r w:rsidRPr="00721B1F">
        <w:rPr>
          <w:rFonts w:ascii="Gisha" w:hAnsi="Gisha" w:cs="Gisha" w:hint="cs"/>
          <w:sz w:val="18"/>
          <w:szCs w:val="18"/>
          <w:rtl/>
        </w:rPr>
        <w:t>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EF" w:rsidRPr="007F407F" w:rsidRDefault="00B41CEF" w:rsidP="007F407F">
    <w:pPr>
      <w:pStyle w:val="ad"/>
      <w:jc w:val="right"/>
      <w:rPr>
        <w:rFonts w:ascii="Gisha" w:hAnsi="Gisha"/>
        <w:sz w:val="22"/>
      </w:rPr>
    </w:pPr>
    <w:r w:rsidRPr="00B41CEF">
      <w:rPr>
        <w:rFonts w:ascii="Gisha" w:hAnsi="Gisha" w:cs="Gisha"/>
        <w:sz w:val="22"/>
        <w:szCs w:val="22"/>
        <w:rtl/>
      </w:rPr>
      <w:t>אי-שוויון בבריאות וההתמודדות עמו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1F" w:rsidRPr="007F407F" w:rsidRDefault="00721B1F" w:rsidP="00661D76">
    <w:pPr>
      <w:pStyle w:val="ad"/>
      <w:rPr>
        <w:rFonts w:ascii="Gisha" w:hAnsi="Gisha" w:cs="Gisha"/>
        <w:sz w:val="22"/>
        <w:szCs w:val="22"/>
        <w:rtl/>
        <w:cs/>
      </w:rPr>
    </w:pPr>
    <w:r w:rsidRPr="007F407F">
      <w:rPr>
        <w:rFonts w:ascii="Gisha" w:hAnsi="Gisha" w:cs="Gisha"/>
        <w:sz w:val="22"/>
        <w:szCs w:val="22"/>
        <w:rtl/>
      </w:rPr>
      <w:t>פרק 1. מגמות עיקריות</w:t>
    </w:r>
    <w:r w:rsidRPr="007F407F">
      <w:rPr>
        <w:rFonts w:ascii="Gisha" w:hAnsi="Gisha" w:cs="Gisha" w:hint="cs"/>
        <w:sz w:val="22"/>
        <w:szCs w:val="22"/>
        <w:rtl/>
      </w:rPr>
      <w:t xml:space="preserve"> בתחום אי-שוויון במדדי בריאות</w:t>
    </w:r>
    <w:r w:rsidRPr="007F407F">
      <w:rPr>
        <w:rFonts w:ascii="Gisha" w:hAnsi="Gisha" w:cs="Gisha"/>
        <w:sz w:val="22"/>
        <w:szCs w:val="22"/>
        <w:rtl/>
      </w:rPr>
      <w:t xml:space="preserve"> </w:t>
    </w:r>
  </w:p>
  <w:p w:rsidR="00721B1F" w:rsidRPr="00661D76" w:rsidRDefault="00721B1F">
    <w:pPr>
      <w:pStyle w:val="ad"/>
      <w:rPr>
        <w:rFonts w:ascii="Gisha" w:hAnsi="Gisha" w:cs="Gisha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24" w:rsidRDefault="00476624">
    <w:pPr>
      <w:pStyle w:val="a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ניר קידר">
    <w15:presenceInfo w15:providerId="AD" w15:userId="S-1-5-21-60493477-2146455087-3665346643-16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6"/>
    <w:rsid w:val="00005711"/>
    <w:rsid w:val="00025DE6"/>
    <w:rsid w:val="00054B67"/>
    <w:rsid w:val="00056A28"/>
    <w:rsid w:val="0005707E"/>
    <w:rsid w:val="00062FA8"/>
    <w:rsid w:val="00065B6A"/>
    <w:rsid w:val="000C0828"/>
    <w:rsid w:val="000F2A9C"/>
    <w:rsid w:val="000F3B01"/>
    <w:rsid w:val="0010152E"/>
    <w:rsid w:val="001129A0"/>
    <w:rsid w:val="0013236F"/>
    <w:rsid w:val="0013376C"/>
    <w:rsid w:val="00143A0C"/>
    <w:rsid w:val="001450BF"/>
    <w:rsid w:val="00162EF9"/>
    <w:rsid w:val="00166BB1"/>
    <w:rsid w:val="0017660D"/>
    <w:rsid w:val="00185AD7"/>
    <w:rsid w:val="001933C7"/>
    <w:rsid w:val="001963AF"/>
    <w:rsid w:val="001A3233"/>
    <w:rsid w:val="001C6D5D"/>
    <w:rsid w:val="001D4276"/>
    <w:rsid w:val="00230145"/>
    <w:rsid w:val="00233F6C"/>
    <w:rsid w:val="0023557C"/>
    <w:rsid w:val="00236ACD"/>
    <w:rsid w:val="002376FB"/>
    <w:rsid w:val="00265D39"/>
    <w:rsid w:val="00270A2E"/>
    <w:rsid w:val="002A1392"/>
    <w:rsid w:val="002A69E2"/>
    <w:rsid w:val="002C78F1"/>
    <w:rsid w:val="002F0F17"/>
    <w:rsid w:val="002F14BF"/>
    <w:rsid w:val="002F28A2"/>
    <w:rsid w:val="00303F3B"/>
    <w:rsid w:val="00307725"/>
    <w:rsid w:val="00315BA4"/>
    <w:rsid w:val="003230C1"/>
    <w:rsid w:val="00385E92"/>
    <w:rsid w:val="00390F3B"/>
    <w:rsid w:val="00396C5E"/>
    <w:rsid w:val="003A3859"/>
    <w:rsid w:val="003C796E"/>
    <w:rsid w:val="003D0513"/>
    <w:rsid w:val="003D6E20"/>
    <w:rsid w:val="003F1D0E"/>
    <w:rsid w:val="003F5502"/>
    <w:rsid w:val="00445549"/>
    <w:rsid w:val="00446237"/>
    <w:rsid w:val="004541B4"/>
    <w:rsid w:val="00476624"/>
    <w:rsid w:val="00477BB5"/>
    <w:rsid w:val="00477BE0"/>
    <w:rsid w:val="00487129"/>
    <w:rsid w:val="004979C5"/>
    <w:rsid w:val="004D191A"/>
    <w:rsid w:val="004D4061"/>
    <w:rsid w:val="004F232C"/>
    <w:rsid w:val="004F36E7"/>
    <w:rsid w:val="00507ECE"/>
    <w:rsid w:val="00512AEA"/>
    <w:rsid w:val="00520FA2"/>
    <w:rsid w:val="005215B1"/>
    <w:rsid w:val="0052711E"/>
    <w:rsid w:val="0053529C"/>
    <w:rsid w:val="00542441"/>
    <w:rsid w:val="00544C82"/>
    <w:rsid w:val="00545188"/>
    <w:rsid w:val="005476BE"/>
    <w:rsid w:val="005643CF"/>
    <w:rsid w:val="00593803"/>
    <w:rsid w:val="005A340C"/>
    <w:rsid w:val="005C56C2"/>
    <w:rsid w:val="005E0FDC"/>
    <w:rsid w:val="005F52A6"/>
    <w:rsid w:val="00613221"/>
    <w:rsid w:val="0062098B"/>
    <w:rsid w:val="00635EFF"/>
    <w:rsid w:val="006534D8"/>
    <w:rsid w:val="00661D76"/>
    <w:rsid w:val="006646FE"/>
    <w:rsid w:val="00670052"/>
    <w:rsid w:val="00680F3C"/>
    <w:rsid w:val="00684F28"/>
    <w:rsid w:val="00687E5E"/>
    <w:rsid w:val="006A1E65"/>
    <w:rsid w:val="006C0E04"/>
    <w:rsid w:val="006F70A8"/>
    <w:rsid w:val="00707890"/>
    <w:rsid w:val="00721B1F"/>
    <w:rsid w:val="007258C5"/>
    <w:rsid w:val="00730E91"/>
    <w:rsid w:val="00744839"/>
    <w:rsid w:val="00746102"/>
    <w:rsid w:val="007512AF"/>
    <w:rsid w:val="0075301B"/>
    <w:rsid w:val="00767145"/>
    <w:rsid w:val="00773136"/>
    <w:rsid w:val="00787E51"/>
    <w:rsid w:val="0079656E"/>
    <w:rsid w:val="007A1E2B"/>
    <w:rsid w:val="007B5501"/>
    <w:rsid w:val="007E3221"/>
    <w:rsid w:val="007F407F"/>
    <w:rsid w:val="00802B8F"/>
    <w:rsid w:val="008238A1"/>
    <w:rsid w:val="0082589A"/>
    <w:rsid w:val="00834633"/>
    <w:rsid w:val="008364A6"/>
    <w:rsid w:val="008766DA"/>
    <w:rsid w:val="00884211"/>
    <w:rsid w:val="00895815"/>
    <w:rsid w:val="008B50E3"/>
    <w:rsid w:val="008D2E65"/>
    <w:rsid w:val="008E1459"/>
    <w:rsid w:val="008E25B9"/>
    <w:rsid w:val="00903E7A"/>
    <w:rsid w:val="00940BB5"/>
    <w:rsid w:val="009476B5"/>
    <w:rsid w:val="00955758"/>
    <w:rsid w:val="00960926"/>
    <w:rsid w:val="00980CDD"/>
    <w:rsid w:val="00993E77"/>
    <w:rsid w:val="009A4F62"/>
    <w:rsid w:val="009B19D2"/>
    <w:rsid w:val="009D514F"/>
    <w:rsid w:val="009D7C22"/>
    <w:rsid w:val="009E1BC9"/>
    <w:rsid w:val="009F6721"/>
    <w:rsid w:val="00A22A13"/>
    <w:rsid w:val="00A50B9C"/>
    <w:rsid w:val="00A5247B"/>
    <w:rsid w:val="00A6308F"/>
    <w:rsid w:val="00A64B70"/>
    <w:rsid w:val="00A675BA"/>
    <w:rsid w:val="00A8283A"/>
    <w:rsid w:val="00A865CB"/>
    <w:rsid w:val="00A94D56"/>
    <w:rsid w:val="00AB1E53"/>
    <w:rsid w:val="00AB3189"/>
    <w:rsid w:val="00AB5506"/>
    <w:rsid w:val="00AB6CB8"/>
    <w:rsid w:val="00AC38BE"/>
    <w:rsid w:val="00AD2430"/>
    <w:rsid w:val="00AF1F92"/>
    <w:rsid w:val="00B05182"/>
    <w:rsid w:val="00B05826"/>
    <w:rsid w:val="00B1409E"/>
    <w:rsid w:val="00B260B6"/>
    <w:rsid w:val="00B41CEF"/>
    <w:rsid w:val="00B510F1"/>
    <w:rsid w:val="00B6200B"/>
    <w:rsid w:val="00B83904"/>
    <w:rsid w:val="00B95978"/>
    <w:rsid w:val="00BA0926"/>
    <w:rsid w:val="00BA5BE1"/>
    <w:rsid w:val="00BB7922"/>
    <w:rsid w:val="00BF5A88"/>
    <w:rsid w:val="00C228A0"/>
    <w:rsid w:val="00C454BE"/>
    <w:rsid w:val="00C60CBE"/>
    <w:rsid w:val="00C76584"/>
    <w:rsid w:val="00CE28FC"/>
    <w:rsid w:val="00D065ED"/>
    <w:rsid w:val="00D23DDA"/>
    <w:rsid w:val="00D46FE5"/>
    <w:rsid w:val="00D77C0F"/>
    <w:rsid w:val="00D86EDB"/>
    <w:rsid w:val="00D91694"/>
    <w:rsid w:val="00DA30FA"/>
    <w:rsid w:val="00DB20C7"/>
    <w:rsid w:val="00DE29DA"/>
    <w:rsid w:val="00DE5890"/>
    <w:rsid w:val="00DF3791"/>
    <w:rsid w:val="00DF3C6E"/>
    <w:rsid w:val="00E42B7B"/>
    <w:rsid w:val="00E42C80"/>
    <w:rsid w:val="00E57218"/>
    <w:rsid w:val="00E633CE"/>
    <w:rsid w:val="00E74D58"/>
    <w:rsid w:val="00E85D5B"/>
    <w:rsid w:val="00EA399C"/>
    <w:rsid w:val="00EB3165"/>
    <w:rsid w:val="00EB46BE"/>
    <w:rsid w:val="00EC1C20"/>
    <w:rsid w:val="00EC3D57"/>
    <w:rsid w:val="00EC61C1"/>
    <w:rsid w:val="00ED3F07"/>
    <w:rsid w:val="00ED41F0"/>
    <w:rsid w:val="00EE6D97"/>
    <w:rsid w:val="00F1337B"/>
    <w:rsid w:val="00F158C6"/>
    <w:rsid w:val="00F20600"/>
    <w:rsid w:val="00F421E6"/>
    <w:rsid w:val="00F77A9F"/>
    <w:rsid w:val="00F80E95"/>
    <w:rsid w:val="00F86AAE"/>
    <w:rsid w:val="00FA2038"/>
    <w:rsid w:val="00FB46BF"/>
    <w:rsid w:val="00FC1103"/>
    <w:rsid w:val="00FE488F"/>
    <w:rsid w:val="00FF1E62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6"/>
    <w:pPr>
      <w:bidi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364A6"/>
    <w:pPr>
      <w:spacing w:after="0" w:line="240" w:lineRule="auto"/>
    </w:pPr>
  </w:style>
  <w:style w:type="character" w:customStyle="1" w:styleId="a4">
    <w:name w:val="טקסט הערת שוליים תו"/>
    <w:basedOn w:val="a0"/>
    <w:link w:val="a3"/>
    <w:rsid w:val="008364A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nhideWhenUsed/>
    <w:rsid w:val="008364A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8364A6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90F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0F3B"/>
    <w:pPr>
      <w:spacing w:line="240" w:lineRule="auto"/>
    </w:pPr>
  </w:style>
  <w:style w:type="character" w:customStyle="1" w:styleId="aa">
    <w:name w:val="טקסט הערה תו"/>
    <w:basedOn w:val="a0"/>
    <w:link w:val="a9"/>
    <w:uiPriority w:val="99"/>
    <w:semiHidden/>
    <w:rsid w:val="00390F3B"/>
    <w:rPr>
      <w:rFonts w:ascii="Calibri" w:eastAsia="Calibri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0F3B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390F3B"/>
    <w:rPr>
      <w:rFonts w:ascii="Calibri" w:eastAsia="Calibri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61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661D76"/>
    <w:rPr>
      <w:rFonts w:ascii="Calibri" w:eastAsia="Calibri" w:hAnsi="Calibri" w:cs="Arial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61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661D76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A6"/>
    <w:pPr>
      <w:bidi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364A6"/>
    <w:pPr>
      <w:spacing w:after="0" w:line="240" w:lineRule="auto"/>
    </w:pPr>
  </w:style>
  <w:style w:type="character" w:customStyle="1" w:styleId="a4">
    <w:name w:val="טקסט הערת שוליים תו"/>
    <w:basedOn w:val="a0"/>
    <w:link w:val="a3"/>
    <w:rsid w:val="008364A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nhideWhenUsed/>
    <w:rsid w:val="008364A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8364A6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90F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0F3B"/>
    <w:pPr>
      <w:spacing w:line="240" w:lineRule="auto"/>
    </w:pPr>
  </w:style>
  <w:style w:type="character" w:customStyle="1" w:styleId="aa">
    <w:name w:val="טקסט הערה תו"/>
    <w:basedOn w:val="a0"/>
    <w:link w:val="a9"/>
    <w:uiPriority w:val="99"/>
    <w:semiHidden/>
    <w:rsid w:val="00390F3B"/>
    <w:rPr>
      <w:rFonts w:ascii="Calibri" w:eastAsia="Calibri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0F3B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390F3B"/>
    <w:rPr>
      <w:rFonts w:ascii="Calibri" w:eastAsia="Calibri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61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661D76"/>
    <w:rPr>
      <w:rFonts w:ascii="Calibri" w:eastAsia="Calibri" w:hAnsi="Calibri" w:cs="Arial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61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661D76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mtt\PUBLIC2\TICHNUN\Diana\&#1491;&#1493;''&#1495;%20&#1488;&#1497;-&#1513;&#1493;&#1493;&#1497;&#1493;&#1503;%202016\&#1514;&#1512;&#1513;&#1497;&#1502;&#1497;&#1501;%20&#1502;&#1506;&#1493;&#1491;&#1499;&#1504;&#1497;&#150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mtt\PUBLIC2\TICHNUN\Diana\&#1491;&#1493;''&#1495;%20&#1488;&#1497;-&#1513;&#1493;&#1493;&#1497;&#1493;&#1503;%202016\&#1514;&#1512;&#1513;&#1497;&#1502;&#1497;&#1501;%20&#1502;&#1506;&#1493;&#1491;&#1499;&#1504;&#1497;&#150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mtt\PUBLIC2\TICHNUN\Diana\&#1491;&#1493;''&#1495;%20&#1488;&#1497;-&#1513;&#1493;&#1493;&#1497;&#1493;&#1503;%202016\&#1514;&#1512;&#1513;&#1497;&#1502;&#1497;&#1501;%20&#1502;&#1506;&#1493;&#1491;&#1499;&#1504;&#1497;&#150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mtt\PUBLIC2\TICHNUN\Diana\&#1491;&#1493;''&#1495;%20&#1488;&#1497;-&#1513;&#1493;&#1493;&#1497;&#1493;&#1503;%202016\&#1514;&#1512;&#1513;&#1497;&#1502;&#1497;&#1501;%20&#1502;&#1506;&#1493;&#1491;&#1499;&#1504;&#1497;&#15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438053254144302E-2"/>
          <c:y val="0.2035440873101326"/>
          <c:w val="0.90289393112539595"/>
          <c:h val="0.65936346244472133"/>
        </c:manualLayout>
      </c:layout>
      <c:lineChart>
        <c:grouping val="standard"/>
        <c:varyColors val="0"/>
        <c:ser>
          <c:idx val="0"/>
          <c:order val="0"/>
          <c:tx>
            <c:strRef>
              <c:f>[1]גיליון1!$C$4</c:f>
              <c:strCache>
                <c:ptCount val="1"/>
                <c:pt idx="0">
                  <c:v> גברים יהודים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rgbClr val="0070C0"/>
              </a:solidFill>
              <a:ln w="28575">
                <a:solidFill>
                  <a:srgbClr val="0070C0"/>
                </a:solidFill>
                <a:round/>
              </a:ln>
              <a:effectLst/>
            </c:spPr>
          </c:marker>
          <c:cat>
            <c:numRef>
              <c:f>[1]גיליון1!$B$5:$B$16</c:f>
              <c:numCache>
                <c:formatCode>General</c:formatCode>
                <c:ptCount val="12"/>
                <c:pt idx="0">
                  <c:v>1975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[1]גיליון1!$C$5:$C$16</c:f>
              <c:numCache>
                <c:formatCode>General</c:formatCode>
                <c:ptCount val="12"/>
                <c:pt idx="0">
                  <c:v>70.900000000000006</c:v>
                </c:pt>
                <c:pt idx="1">
                  <c:v>73.900000000000006</c:v>
                </c:pt>
                <c:pt idx="2">
                  <c:v>75.3</c:v>
                </c:pt>
                <c:pt idx="3">
                  <c:v>75.900000000000006</c:v>
                </c:pt>
                <c:pt idx="4">
                  <c:v>77.3</c:v>
                </c:pt>
                <c:pt idx="5">
                  <c:v>79</c:v>
                </c:pt>
                <c:pt idx="6">
                  <c:v>80.5</c:v>
                </c:pt>
                <c:pt idx="7">
                  <c:v>80.7</c:v>
                </c:pt>
                <c:pt idx="8">
                  <c:v>80.599999999999994</c:v>
                </c:pt>
                <c:pt idx="9">
                  <c:v>81</c:v>
                </c:pt>
                <c:pt idx="10">
                  <c:v>81.099999999999994</c:v>
                </c:pt>
                <c:pt idx="11">
                  <c:v>80.900000000000006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1F-4468-905F-8F4394FEEE77}"/>
            </c:ext>
          </c:extLst>
        </c:ser>
        <c:ser>
          <c:idx val="1"/>
          <c:order val="1"/>
          <c:tx>
            <c:strRef>
              <c:f>[1]גיליון1!$D$4</c:f>
              <c:strCache>
                <c:ptCount val="1"/>
                <c:pt idx="0">
                  <c:v>גברים ערבים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rgbClr val="00B050"/>
              </a:solidFill>
              <a:ln w="22225">
                <a:solidFill>
                  <a:srgbClr val="00B050"/>
                </a:solidFill>
                <a:round/>
              </a:ln>
              <a:effectLst/>
            </c:spPr>
          </c:marker>
          <c:cat>
            <c:numRef>
              <c:f>[1]גיליון1!$B$5:$B$16</c:f>
              <c:numCache>
                <c:formatCode>General</c:formatCode>
                <c:ptCount val="12"/>
                <c:pt idx="0">
                  <c:v>1975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[1]גיליון1!$D$5:$D$16</c:f>
              <c:numCache>
                <c:formatCode>General</c:formatCode>
                <c:ptCount val="12"/>
                <c:pt idx="0">
                  <c:v>68.2</c:v>
                </c:pt>
                <c:pt idx="1">
                  <c:v>72</c:v>
                </c:pt>
                <c:pt idx="2">
                  <c:v>73.3</c:v>
                </c:pt>
                <c:pt idx="3">
                  <c:v>73.8</c:v>
                </c:pt>
                <c:pt idx="4">
                  <c:v>74.599999999999994</c:v>
                </c:pt>
                <c:pt idx="5">
                  <c:v>74.900000000000006</c:v>
                </c:pt>
                <c:pt idx="6">
                  <c:v>76.599999999999994</c:v>
                </c:pt>
                <c:pt idx="7">
                  <c:v>76.5</c:v>
                </c:pt>
                <c:pt idx="8">
                  <c:v>76.900000000000006</c:v>
                </c:pt>
                <c:pt idx="9">
                  <c:v>78</c:v>
                </c:pt>
                <c:pt idx="10">
                  <c:v>76.900000000000006</c:v>
                </c:pt>
                <c:pt idx="11">
                  <c:v>76.900000000000006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11F-4468-905F-8F4394FEEE77}"/>
            </c:ext>
          </c:extLst>
        </c:ser>
        <c:ser>
          <c:idx val="2"/>
          <c:order val="2"/>
          <c:tx>
            <c:strRef>
              <c:f>[1]גיליון1!$E$4</c:f>
              <c:strCache>
                <c:ptCount val="1"/>
                <c:pt idx="0">
                  <c:v>נשים יהודיות</c:v>
                </c:pt>
              </c:strCache>
            </c:strRef>
          </c:tx>
          <c:spPr>
            <a:ln w="2540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6">
                  <a:lumMod val="75000"/>
                </a:schemeClr>
              </a:solidFill>
              <a:ln w="22225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</c:marker>
          <c:cat>
            <c:numRef>
              <c:f>[1]גיליון1!$B$5:$B$16</c:f>
              <c:numCache>
                <c:formatCode>General</c:formatCode>
                <c:ptCount val="12"/>
                <c:pt idx="0">
                  <c:v>1975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[1]גיליון1!$E$5:$E$16</c:f>
              <c:numCache>
                <c:formatCode>General</c:formatCode>
                <c:ptCount val="12"/>
                <c:pt idx="0">
                  <c:v>74.5</c:v>
                </c:pt>
                <c:pt idx="1">
                  <c:v>77.3</c:v>
                </c:pt>
                <c:pt idx="2">
                  <c:v>78.900000000000006</c:v>
                </c:pt>
                <c:pt idx="3">
                  <c:v>79.8</c:v>
                </c:pt>
                <c:pt idx="4">
                  <c:v>81.2</c:v>
                </c:pt>
                <c:pt idx="5">
                  <c:v>82.6</c:v>
                </c:pt>
                <c:pt idx="6">
                  <c:v>83.9</c:v>
                </c:pt>
                <c:pt idx="7">
                  <c:v>83.9</c:v>
                </c:pt>
                <c:pt idx="8">
                  <c:v>84</c:v>
                </c:pt>
                <c:pt idx="9">
                  <c:v>84.3</c:v>
                </c:pt>
                <c:pt idx="10">
                  <c:v>84.5</c:v>
                </c:pt>
                <c:pt idx="11">
                  <c:v>84.5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11F-4468-905F-8F4394FEEE77}"/>
            </c:ext>
          </c:extLst>
        </c:ser>
        <c:ser>
          <c:idx val="3"/>
          <c:order val="3"/>
          <c:tx>
            <c:strRef>
              <c:f>[1]גיליון1!$F$4</c:f>
              <c:strCache>
                <c:ptCount val="1"/>
                <c:pt idx="0">
                  <c:v>נשים ערביות</c:v>
                </c:pt>
              </c:strCache>
            </c:strRef>
          </c:tx>
          <c:spPr>
            <a:ln w="28575" cap="rnd">
              <a:solidFill>
                <a:schemeClr val="bg2">
                  <a:lumMod val="25000"/>
                </a:schemeClr>
              </a:solidFill>
              <a:round/>
            </a:ln>
            <a:effectLst/>
          </c:spPr>
          <c:marker>
            <c:symbol val="x"/>
            <c:size val="6"/>
            <c:spPr>
              <a:noFill/>
              <a:ln w="22225">
                <a:solidFill>
                  <a:schemeClr val="bg2">
                    <a:lumMod val="25000"/>
                  </a:schemeClr>
                </a:solidFill>
                <a:round/>
              </a:ln>
              <a:effectLst/>
            </c:spPr>
          </c:marker>
          <c:cat>
            <c:numRef>
              <c:f>[1]גיליון1!$B$5:$B$16</c:f>
              <c:numCache>
                <c:formatCode>General</c:formatCode>
                <c:ptCount val="12"/>
                <c:pt idx="0">
                  <c:v>1975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</c:numCache>
            </c:numRef>
          </c:cat>
          <c:val>
            <c:numRef>
              <c:f>[1]גיליון1!$F$5:$F$16</c:f>
              <c:numCache>
                <c:formatCode>General</c:formatCode>
                <c:ptCount val="12"/>
                <c:pt idx="0">
                  <c:v>71.5</c:v>
                </c:pt>
                <c:pt idx="1">
                  <c:v>75.8</c:v>
                </c:pt>
                <c:pt idx="2">
                  <c:v>75.900000000000006</c:v>
                </c:pt>
                <c:pt idx="3">
                  <c:v>77.3</c:v>
                </c:pt>
                <c:pt idx="4">
                  <c:v>77.900000000000006</c:v>
                </c:pt>
                <c:pt idx="5">
                  <c:v>78.599999999999994</c:v>
                </c:pt>
                <c:pt idx="6">
                  <c:v>81.3</c:v>
                </c:pt>
                <c:pt idx="7">
                  <c:v>80.900000000000006</c:v>
                </c:pt>
                <c:pt idx="8">
                  <c:v>80.7</c:v>
                </c:pt>
                <c:pt idx="9">
                  <c:v>80.900000000000006</c:v>
                </c:pt>
                <c:pt idx="10">
                  <c:v>81.2</c:v>
                </c:pt>
                <c:pt idx="11">
                  <c:v>81.099999999999994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11F-4468-905F-8F4394FEE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97888"/>
        <c:axId val="76405504"/>
      </c:lineChart>
      <c:catAx>
        <c:axId val="8419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76405504"/>
        <c:crosses val="autoZero"/>
        <c:auto val="1"/>
        <c:lblAlgn val="ctr"/>
        <c:lblOffset val="100"/>
        <c:noMultiLvlLbl val="0"/>
      </c:catAx>
      <c:valAx>
        <c:axId val="76405504"/>
        <c:scaling>
          <c:orientation val="minMax"/>
          <c:max val="85"/>
          <c:min val="6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8419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7414118199298698E-2"/>
          <c:y val="5.9790732436472344E-2"/>
          <c:w val="0.86517157894212016"/>
          <c:h val="7.1658201862870488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גיליון1!$D$176:$D$191</c:f>
              <c:strCache>
                <c:ptCount val="16"/>
                <c:pt idx="0">
                  <c:v> יהודה והשומרון*</c:v>
                </c:pt>
                <c:pt idx="1">
                  <c:v>פתח תקווה </c:v>
                </c:pt>
                <c:pt idx="2">
                  <c:v> ירושלים</c:v>
                </c:pt>
                <c:pt idx="3">
                  <c:v>רחובות</c:v>
                </c:pt>
                <c:pt idx="4">
                  <c:v>צפת</c:v>
                </c:pt>
                <c:pt idx="5">
                  <c:v> רמלה</c:v>
                </c:pt>
                <c:pt idx="6">
                  <c:v> חיפה</c:v>
                </c:pt>
                <c:pt idx="7">
                  <c:v> חדרה</c:v>
                </c:pt>
                <c:pt idx="8">
                  <c:v> השרון</c:v>
                </c:pt>
                <c:pt idx="9">
                  <c:v> תל אביב</c:v>
                </c:pt>
                <c:pt idx="10">
                  <c:v>אשקלון</c:v>
                </c:pt>
                <c:pt idx="11">
                  <c:v> כנרת</c:v>
                </c:pt>
                <c:pt idx="12">
                  <c:v> עכו</c:v>
                </c:pt>
                <c:pt idx="13">
                  <c:v> גולן</c:v>
                </c:pt>
                <c:pt idx="14">
                  <c:v> יזרעאל</c:v>
                </c:pt>
                <c:pt idx="15">
                  <c:v> באר שבע</c:v>
                </c:pt>
              </c:strCache>
            </c:strRef>
          </c:cat>
          <c:val>
            <c:numRef>
              <c:f>גיליון1!$E$176:$E$191</c:f>
              <c:numCache>
                <c:formatCode>#,##0.0\ \ \ \ \ ;@\ \ \ \ \ </c:formatCode>
                <c:ptCount val="16"/>
                <c:pt idx="0">
                  <c:v>3.8</c:v>
                </c:pt>
                <c:pt idx="1">
                  <c:v>4.5</c:v>
                </c:pt>
                <c:pt idx="2">
                  <c:v>4.5999999999999996</c:v>
                </c:pt>
                <c:pt idx="3">
                  <c:v>4.5999999999999996</c:v>
                </c:pt>
                <c:pt idx="4">
                  <c:v>4.8</c:v>
                </c:pt>
                <c:pt idx="5">
                  <c:v>4.8</c:v>
                </c:pt>
                <c:pt idx="6">
                  <c:v>4.9000000000000004</c:v>
                </c:pt>
                <c:pt idx="7">
                  <c:v>4.9000000000000004</c:v>
                </c:pt>
                <c:pt idx="8">
                  <c:v>4.9000000000000004</c:v>
                </c:pt>
                <c:pt idx="9">
                  <c:v>4.9000000000000004</c:v>
                </c:pt>
                <c:pt idx="10">
                  <c:v>5</c:v>
                </c:pt>
                <c:pt idx="11">
                  <c:v>5.0999999999999996</c:v>
                </c:pt>
                <c:pt idx="12">
                  <c:v>5.3</c:v>
                </c:pt>
                <c:pt idx="13">
                  <c:v>5.4</c:v>
                </c:pt>
                <c:pt idx="14">
                  <c:v>5.6</c:v>
                </c:pt>
                <c:pt idx="15">
                  <c:v>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71-44B6-AF80-979D83004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5314816"/>
        <c:axId val="84214336"/>
      </c:barChart>
      <c:catAx>
        <c:axId val="6531481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84214336"/>
        <c:crosses val="autoZero"/>
        <c:auto val="1"/>
        <c:lblAlgn val="ctr"/>
        <c:lblOffset val="100"/>
        <c:noMultiLvlLbl val="0"/>
      </c:catAx>
      <c:valAx>
        <c:axId val="84214336"/>
        <c:scaling>
          <c:orientation val="maxMin"/>
        </c:scaling>
        <c:delete val="0"/>
        <c:axPos val="b"/>
        <c:majorGridlines/>
        <c:numFmt formatCode="#,##0.0\ \ \ \ \ ;@\ \ \ \ \ 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653148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 b="1">
          <a:latin typeface="Gisha" pitchFamily="34" charset="-79"/>
          <a:cs typeface="Gisha" pitchFamily="34" charset="-79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he-IL" sz="1200"/>
              <a:t>גברים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59920405003657E-2"/>
          <c:y val="0.17633635549023244"/>
          <c:w val="0.89639332292137197"/>
          <c:h val="0.60993828005705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גיליון1!$E$139:$E$140</c:f>
              <c:strCache>
                <c:ptCount val="1"/>
                <c:pt idx="0">
                  <c:v> 2006-2008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גיליון1!$D$141:$D$145</c:f>
              <c:strCache>
                <c:ptCount val="5"/>
                <c:pt idx="0">
                  <c:v>סה"כ</c:v>
                </c:pt>
                <c:pt idx="1">
                  <c:v>עולי בריה"מ</c:v>
                </c:pt>
                <c:pt idx="2">
                  <c:v>אירופה-אמריקה</c:v>
                </c:pt>
                <c:pt idx="3">
                  <c:v>אפריקה</c:v>
                </c:pt>
                <c:pt idx="4">
                  <c:v>אסיה</c:v>
                </c:pt>
              </c:strCache>
            </c:strRef>
          </c:cat>
          <c:val>
            <c:numRef>
              <c:f>גיליון1!$E$141:$E$145</c:f>
              <c:numCache>
                <c:formatCode>General</c:formatCode>
                <c:ptCount val="5"/>
                <c:pt idx="0">
                  <c:v>17.8</c:v>
                </c:pt>
                <c:pt idx="1">
                  <c:v>19</c:v>
                </c:pt>
                <c:pt idx="2">
                  <c:v>17.600000000000001</c:v>
                </c:pt>
                <c:pt idx="3">
                  <c:v>19.600000000000001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9D-4811-833B-CD92D5AF6D73}"/>
            </c:ext>
          </c:extLst>
        </c:ser>
        <c:ser>
          <c:idx val="1"/>
          <c:order val="1"/>
          <c:tx>
            <c:strRef>
              <c:f>גיליון1!$F$139:$F$140</c:f>
              <c:strCache>
                <c:ptCount val="1"/>
                <c:pt idx="0">
                  <c:v>2012-2014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גיליון1!$D$141:$D$145</c:f>
              <c:strCache>
                <c:ptCount val="5"/>
                <c:pt idx="0">
                  <c:v>סה"כ</c:v>
                </c:pt>
                <c:pt idx="1">
                  <c:v>עולי בריה"מ</c:v>
                </c:pt>
                <c:pt idx="2">
                  <c:v>אירופה-אמריקה</c:v>
                </c:pt>
                <c:pt idx="3">
                  <c:v>אפריקה</c:v>
                </c:pt>
                <c:pt idx="4">
                  <c:v>אסיה</c:v>
                </c:pt>
              </c:strCache>
            </c:strRef>
          </c:cat>
          <c:val>
            <c:numRef>
              <c:f>גיליון1!$F$141:$F$145</c:f>
              <c:numCache>
                <c:formatCode>0.0</c:formatCode>
                <c:ptCount val="5"/>
                <c:pt idx="0">
                  <c:v>20.2</c:v>
                </c:pt>
                <c:pt idx="1">
                  <c:v>20.7</c:v>
                </c:pt>
                <c:pt idx="2">
                  <c:v>19.600000000000001</c:v>
                </c:pt>
                <c:pt idx="3">
                  <c:v>18.100000000000001</c:v>
                </c:pt>
                <c:pt idx="4">
                  <c:v>17.7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9D-4811-833B-CD92D5AF6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16640"/>
        <c:axId val="541541504"/>
      </c:barChart>
      <c:catAx>
        <c:axId val="53616640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541541504"/>
        <c:crosses val="autoZero"/>
        <c:auto val="1"/>
        <c:lblAlgn val="ctr"/>
        <c:lblOffset val="100"/>
        <c:noMultiLvlLbl val="0"/>
      </c:catAx>
      <c:valAx>
        <c:axId val="541541504"/>
        <c:scaling>
          <c:orientation val="minMax"/>
          <c:max val="21"/>
          <c:min val="0"/>
        </c:scaling>
        <c:delete val="0"/>
        <c:axPos val="r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5361664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b="1">
          <a:latin typeface="Gisha" pitchFamily="34" charset="-79"/>
          <a:cs typeface="Gisha" pitchFamily="34" charset="-79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he-IL" sz="1200"/>
              <a:t>נשים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150547902645072E-2"/>
          <c:y val="0.14753377509478852"/>
          <c:w val="0.89367886748361247"/>
          <c:h val="0.655605079809995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גיליון1!$E$167</c:f>
              <c:strCache>
                <c:ptCount val="1"/>
                <c:pt idx="0">
                  <c:v> 2006-2008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גיליון1!$D$168:$D$172</c:f>
              <c:strCache>
                <c:ptCount val="5"/>
                <c:pt idx="0">
                  <c:v>סה"כ</c:v>
                </c:pt>
                <c:pt idx="1">
                  <c:v>עולי בריה"מ</c:v>
                </c:pt>
                <c:pt idx="2">
                  <c:v>אירופה-אמריקה</c:v>
                </c:pt>
                <c:pt idx="3">
                  <c:v>אפריקה</c:v>
                </c:pt>
                <c:pt idx="4">
                  <c:v>אסיה</c:v>
                </c:pt>
              </c:strCache>
            </c:strRef>
          </c:cat>
          <c:val>
            <c:numRef>
              <c:f>גיליון1!$E$168:$E$172</c:f>
              <c:numCache>
                <c:formatCode>General</c:formatCode>
                <c:ptCount val="5"/>
                <c:pt idx="0">
                  <c:v>12.6</c:v>
                </c:pt>
                <c:pt idx="1">
                  <c:v>12.6</c:v>
                </c:pt>
                <c:pt idx="2">
                  <c:v>12.3</c:v>
                </c:pt>
                <c:pt idx="3">
                  <c:v>15</c:v>
                </c:pt>
                <c:pt idx="4">
                  <c:v>12.2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F-45EA-BB30-3C978FAE59A4}"/>
            </c:ext>
          </c:extLst>
        </c:ser>
        <c:ser>
          <c:idx val="1"/>
          <c:order val="1"/>
          <c:tx>
            <c:strRef>
              <c:f>גיליון1!$F$167</c:f>
              <c:strCache>
                <c:ptCount val="1"/>
                <c:pt idx="0">
                  <c:v> 2012-2014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גיליון1!$D$168:$D$172</c:f>
              <c:strCache>
                <c:ptCount val="5"/>
                <c:pt idx="0">
                  <c:v>סה"כ</c:v>
                </c:pt>
                <c:pt idx="1">
                  <c:v>עולי בריה"מ</c:v>
                </c:pt>
                <c:pt idx="2">
                  <c:v>אירופה-אמריקה</c:v>
                </c:pt>
                <c:pt idx="3">
                  <c:v>אפריקה</c:v>
                </c:pt>
                <c:pt idx="4">
                  <c:v>אסיה</c:v>
                </c:pt>
              </c:strCache>
            </c:strRef>
          </c:cat>
          <c:val>
            <c:numRef>
              <c:f>גיליון1!$F$168:$F$172</c:f>
              <c:numCache>
                <c:formatCode>0.0</c:formatCode>
                <c:ptCount val="5"/>
                <c:pt idx="0">
                  <c:v>14.9</c:v>
                </c:pt>
                <c:pt idx="1">
                  <c:v>13.9</c:v>
                </c:pt>
                <c:pt idx="2">
                  <c:v>13.8</c:v>
                </c:pt>
                <c:pt idx="3">
                  <c:v>14.4</c:v>
                </c:pt>
                <c:pt idx="4">
                  <c:v>13.7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7F-45EA-BB30-3C978FAE5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318400"/>
        <c:axId val="564117504"/>
      </c:barChart>
      <c:catAx>
        <c:axId val="65318400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564117504"/>
        <c:crosses val="autoZero"/>
        <c:auto val="1"/>
        <c:lblAlgn val="ctr"/>
        <c:lblOffset val="100"/>
        <c:noMultiLvlLbl val="0"/>
      </c:catAx>
      <c:valAx>
        <c:axId val="564117504"/>
        <c:scaling>
          <c:orientation val="minMax"/>
          <c:max val="21"/>
          <c:min val="0"/>
        </c:scaling>
        <c:delete val="0"/>
        <c:axPos val="r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6531840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 sz="105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b="1">
          <a:latin typeface="Gisha" pitchFamily="34" charset="-79"/>
          <a:cs typeface="Gisha" pitchFamily="34" charset="-79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07781872900117E-2"/>
          <c:y val="0.17914534891281259"/>
          <c:w val="0.85646480819424031"/>
          <c:h val="0.71384752720247902"/>
        </c:manualLayout>
      </c:layout>
      <c:lineChart>
        <c:grouping val="standard"/>
        <c:varyColors val="0"/>
        <c:ser>
          <c:idx val="0"/>
          <c:order val="0"/>
          <c:tx>
            <c:strRef>
              <c:f>[1]גיליון1!$D$39</c:f>
              <c:strCache>
                <c:ptCount val="1"/>
                <c:pt idx="0">
                  <c:v>מרכז</c:v>
                </c:pt>
              </c:strCache>
            </c:strRef>
          </c:tx>
          <c:spPr>
            <a:ln w="31750"/>
          </c:spPr>
          <c:dLbls>
            <c:dLbl>
              <c:idx val="7"/>
              <c:layout>
                <c:manualLayout>
                  <c:x val="0"/>
                  <c:y val="2.3880597014925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B4-44E2-B28D-D4319E96980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[1]גיליון1!$C$40:$C$47</c:f>
              <c:strCache>
                <c:ptCount val="8"/>
                <c:pt idx="0">
                  <c:v>2006-2008</c:v>
                </c:pt>
                <c:pt idx="1">
                  <c:v>2007-2009</c:v>
                </c:pt>
                <c:pt idx="2">
                  <c:v>2008-2010</c:v>
                </c:pt>
                <c:pt idx="3">
                  <c:v>2009-2011</c:v>
                </c:pt>
                <c:pt idx="4">
                  <c:v>2010-2012</c:v>
                </c:pt>
                <c:pt idx="5">
                  <c:v>2011-2013</c:v>
                </c:pt>
                <c:pt idx="6">
                  <c:v>2012-2014</c:v>
                </c:pt>
                <c:pt idx="7">
                  <c:v>2013-2015</c:v>
                </c:pt>
              </c:strCache>
            </c:strRef>
          </c:cat>
          <c:val>
            <c:numRef>
              <c:f>[1]גיליון1!$D$40:$D$47</c:f>
              <c:numCache>
                <c:formatCode>General</c:formatCode>
                <c:ptCount val="8"/>
                <c:pt idx="0">
                  <c:v>2.4</c:v>
                </c:pt>
                <c:pt idx="1">
                  <c:v>2.5</c:v>
                </c:pt>
                <c:pt idx="2">
                  <c:v>2.4</c:v>
                </c:pt>
                <c:pt idx="3">
                  <c:v>2.5</c:v>
                </c:pt>
                <c:pt idx="4">
                  <c:v>2.7</c:v>
                </c:pt>
                <c:pt idx="5">
                  <c:v>2.5</c:v>
                </c:pt>
                <c:pt idx="6">
                  <c:v>2.2999999999999998</c:v>
                </c:pt>
                <c:pt idx="7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2B4-44E2-B28D-D4319E969805}"/>
            </c:ext>
          </c:extLst>
        </c:ser>
        <c:ser>
          <c:idx val="1"/>
          <c:order val="1"/>
          <c:tx>
            <c:strRef>
              <c:f>[1]גיליון1!$E$39</c:f>
              <c:strCache>
                <c:ptCount val="1"/>
                <c:pt idx="0">
                  <c:v>תל אביב</c:v>
                </c:pt>
              </c:strCache>
            </c:strRef>
          </c:tx>
          <c:spPr>
            <a:ln w="31750"/>
          </c:spPr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B4-44E2-B28D-D4319E9698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[1]גיליון1!$C$40:$C$47</c:f>
              <c:strCache>
                <c:ptCount val="8"/>
                <c:pt idx="0">
                  <c:v>2006-2008</c:v>
                </c:pt>
                <c:pt idx="1">
                  <c:v>2007-2009</c:v>
                </c:pt>
                <c:pt idx="2">
                  <c:v>2008-2010</c:v>
                </c:pt>
                <c:pt idx="3">
                  <c:v>2009-2011</c:v>
                </c:pt>
                <c:pt idx="4">
                  <c:v>2010-2012</c:v>
                </c:pt>
                <c:pt idx="5">
                  <c:v>2011-2013</c:v>
                </c:pt>
                <c:pt idx="6">
                  <c:v>2012-2014</c:v>
                </c:pt>
                <c:pt idx="7">
                  <c:v>2013-2015</c:v>
                </c:pt>
              </c:strCache>
            </c:strRef>
          </c:cat>
          <c:val>
            <c:numRef>
              <c:f>[1]גיליון1!$E$40:$E$47</c:f>
              <c:numCache>
                <c:formatCode>General</c:formatCode>
                <c:ptCount val="8"/>
                <c:pt idx="0">
                  <c:v>3.6</c:v>
                </c:pt>
                <c:pt idx="1">
                  <c:v>3.3</c:v>
                </c:pt>
                <c:pt idx="2">
                  <c:v>2.7</c:v>
                </c:pt>
                <c:pt idx="3">
                  <c:v>2.5</c:v>
                </c:pt>
                <c:pt idx="4">
                  <c:v>2.4</c:v>
                </c:pt>
                <c:pt idx="5">
                  <c:v>2.2999999999999998</c:v>
                </c:pt>
                <c:pt idx="6">
                  <c:v>2.2000000000000002</c:v>
                </c:pt>
                <c:pt idx="7">
                  <c:v>2.1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2B4-44E2-B28D-D4319E969805}"/>
            </c:ext>
          </c:extLst>
        </c:ser>
        <c:ser>
          <c:idx val="2"/>
          <c:order val="2"/>
          <c:tx>
            <c:strRef>
              <c:f>[1]גיליון1!$F$39</c:f>
              <c:strCache>
                <c:ptCount val="1"/>
                <c:pt idx="0">
                  <c:v>ירושלים</c:v>
                </c:pt>
              </c:strCache>
            </c:strRef>
          </c:tx>
          <c:spPr>
            <a:ln w="31750"/>
          </c:spPr>
          <c:dLbls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B4-44E2-B28D-D4319E96980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[1]גיליון1!$C$40:$C$47</c:f>
              <c:strCache>
                <c:ptCount val="8"/>
                <c:pt idx="0">
                  <c:v>2006-2008</c:v>
                </c:pt>
                <c:pt idx="1">
                  <c:v>2007-2009</c:v>
                </c:pt>
                <c:pt idx="2">
                  <c:v>2008-2010</c:v>
                </c:pt>
                <c:pt idx="3">
                  <c:v>2009-2011</c:v>
                </c:pt>
                <c:pt idx="4">
                  <c:v>2010-2012</c:v>
                </c:pt>
                <c:pt idx="5">
                  <c:v>2011-2013</c:v>
                </c:pt>
                <c:pt idx="6">
                  <c:v>2012-2014</c:v>
                </c:pt>
                <c:pt idx="7">
                  <c:v>2013-2015</c:v>
                </c:pt>
              </c:strCache>
            </c:strRef>
          </c:cat>
          <c:val>
            <c:numRef>
              <c:f>[1]גיליון1!$F$40:$F$47</c:f>
              <c:numCache>
                <c:formatCode>General</c:formatCode>
                <c:ptCount val="8"/>
                <c:pt idx="0">
                  <c:v>3.9</c:v>
                </c:pt>
                <c:pt idx="1">
                  <c:v>3.9</c:v>
                </c:pt>
                <c:pt idx="2">
                  <c:v>4.0999999999999996</c:v>
                </c:pt>
                <c:pt idx="3">
                  <c:v>4.2</c:v>
                </c:pt>
                <c:pt idx="4">
                  <c:v>3.7</c:v>
                </c:pt>
                <c:pt idx="5">
                  <c:v>3.3</c:v>
                </c:pt>
                <c:pt idx="6">
                  <c:v>3</c:v>
                </c:pt>
                <c:pt idx="7">
                  <c:v>3.1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2B4-44E2-B28D-D4319E969805}"/>
            </c:ext>
          </c:extLst>
        </c:ser>
        <c:ser>
          <c:idx val="3"/>
          <c:order val="3"/>
          <c:tx>
            <c:strRef>
              <c:f>[1]גיליון1!$G$39</c:f>
              <c:strCache>
                <c:ptCount val="1"/>
                <c:pt idx="0">
                  <c:v>חיפה</c:v>
                </c:pt>
              </c:strCache>
            </c:strRef>
          </c:tx>
          <c:spPr>
            <a:ln w="31750"/>
          </c:spPr>
          <c:dLbls>
            <c:dLbl>
              <c:idx val="7"/>
              <c:layout>
                <c:manualLayout>
                  <c:x val="-1.7655588344816459E-16"/>
                  <c:y val="-2.7131782945736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B4-44E2-B28D-D4319E96980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[1]גיליון1!$C$40:$C$47</c:f>
              <c:strCache>
                <c:ptCount val="8"/>
                <c:pt idx="0">
                  <c:v>2006-2008</c:v>
                </c:pt>
                <c:pt idx="1">
                  <c:v>2007-2009</c:v>
                </c:pt>
                <c:pt idx="2">
                  <c:v>2008-2010</c:v>
                </c:pt>
                <c:pt idx="3">
                  <c:v>2009-2011</c:v>
                </c:pt>
                <c:pt idx="4">
                  <c:v>2010-2012</c:v>
                </c:pt>
                <c:pt idx="5">
                  <c:v>2011-2013</c:v>
                </c:pt>
                <c:pt idx="6">
                  <c:v>2012-2014</c:v>
                </c:pt>
                <c:pt idx="7">
                  <c:v>2013-2015</c:v>
                </c:pt>
              </c:strCache>
            </c:strRef>
          </c:cat>
          <c:val>
            <c:numRef>
              <c:f>[1]גיליון1!$G$40:$G$47</c:f>
              <c:numCache>
                <c:formatCode>General</c:formatCode>
                <c:ptCount val="8"/>
                <c:pt idx="0">
                  <c:v>3.7</c:v>
                </c:pt>
                <c:pt idx="1">
                  <c:v>3.8</c:v>
                </c:pt>
                <c:pt idx="2">
                  <c:v>4.0999999999999996</c:v>
                </c:pt>
                <c:pt idx="3">
                  <c:v>4</c:v>
                </c:pt>
                <c:pt idx="4">
                  <c:v>3.9</c:v>
                </c:pt>
                <c:pt idx="5">
                  <c:v>3.7</c:v>
                </c:pt>
                <c:pt idx="6">
                  <c:v>3.5</c:v>
                </c:pt>
                <c:pt idx="7">
                  <c:v>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2B4-44E2-B28D-D4319E969805}"/>
            </c:ext>
          </c:extLst>
        </c:ser>
        <c:ser>
          <c:idx val="4"/>
          <c:order val="4"/>
          <c:tx>
            <c:strRef>
              <c:f>[1]גיליון1!$H$39</c:f>
              <c:strCache>
                <c:ptCount val="1"/>
                <c:pt idx="0">
                  <c:v>דרום</c:v>
                </c:pt>
              </c:strCache>
            </c:strRef>
          </c:tx>
          <c:spPr>
            <a:ln w="31750"/>
          </c:spPr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B4-44E2-B28D-D4319E96980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[1]גיליון1!$C$40:$C$47</c:f>
              <c:strCache>
                <c:ptCount val="8"/>
                <c:pt idx="0">
                  <c:v>2006-2008</c:v>
                </c:pt>
                <c:pt idx="1">
                  <c:v>2007-2009</c:v>
                </c:pt>
                <c:pt idx="2">
                  <c:v>2008-2010</c:v>
                </c:pt>
                <c:pt idx="3">
                  <c:v>2009-2011</c:v>
                </c:pt>
                <c:pt idx="4">
                  <c:v>2010-2012</c:v>
                </c:pt>
                <c:pt idx="5">
                  <c:v>2011-2013</c:v>
                </c:pt>
                <c:pt idx="6">
                  <c:v>2012-2014</c:v>
                </c:pt>
                <c:pt idx="7">
                  <c:v>2013-2015</c:v>
                </c:pt>
              </c:strCache>
            </c:strRef>
          </c:cat>
          <c:val>
            <c:numRef>
              <c:f>[1]גיליון1!$H$40:$H$47</c:f>
              <c:numCache>
                <c:formatCode>General</c:formatCode>
                <c:ptCount val="8"/>
                <c:pt idx="0">
                  <c:v>5.7</c:v>
                </c:pt>
                <c:pt idx="1">
                  <c:v>5.7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5.6</c:v>
                </c:pt>
                <c:pt idx="6">
                  <c:v>5.4</c:v>
                </c:pt>
                <c:pt idx="7">
                  <c:v>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32B4-44E2-B28D-D4319E969805}"/>
            </c:ext>
          </c:extLst>
        </c:ser>
        <c:ser>
          <c:idx val="5"/>
          <c:order val="5"/>
          <c:tx>
            <c:strRef>
              <c:f>[1]גיליון1!$I$39</c:f>
              <c:strCache>
                <c:ptCount val="1"/>
                <c:pt idx="0">
                  <c:v>צפון</c:v>
                </c:pt>
              </c:strCache>
            </c:strRef>
          </c:tx>
          <c:spPr>
            <a:ln w="31750"/>
          </c:spPr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2B4-44E2-B28D-D4319E96980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[1]גיליון1!$C$40:$C$47</c:f>
              <c:strCache>
                <c:ptCount val="8"/>
                <c:pt idx="0">
                  <c:v>2006-2008</c:v>
                </c:pt>
                <c:pt idx="1">
                  <c:v>2007-2009</c:v>
                </c:pt>
                <c:pt idx="2">
                  <c:v>2008-2010</c:v>
                </c:pt>
                <c:pt idx="3">
                  <c:v>2009-2011</c:v>
                </c:pt>
                <c:pt idx="4">
                  <c:v>2010-2012</c:v>
                </c:pt>
                <c:pt idx="5">
                  <c:v>2011-2013</c:v>
                </c:pt>
                <c:pt idx="6">
                  <c:v>2012-2014</c:v>
                </c:pt>
                <c:pt idx="7">
                  <c:v>2013-2015</c:v>
                </c:pt>
              </c:strCache>
            </c:strRef>
          </c:cat>
          <c:val>
            <c:numRef>
              <c:f>[1]גיליון1!$I$40:$I$47</c:f>
              <c:numCache>
                <c:formatCode>General</c:formatCode>
                <c:ptCount val="8"/>
                <c:pt idx="0">
                  <c:v>4.9000000000000004</c:v>
                </c:pt>
                <c:pt idx="1">
                  <c:v>4.8</c:v>
                </c:pt>
                <c:pt idx="2">
                  <c:v>4.4000000000000004</c:v>
                </c:pt>
                <c:pt idx="3">
                  <c:v>3.9</c:v>
                </c:pt>
                <c:pt idx="4">
                  <c:v>3.8</c:v>
                </c:pt>
                <c:pt idx="5">
                  <c:v>4</c:v>
                </c:pt>
                <c:pt idx="6">
                  <c:v>4.0999999999999996</c:v>
                </c:pt>
                <c:pt idx="7">
                  <c:v>3.9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32B4-44E2-B28D-D4319E969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98400"/>
        <c:axId val="564119232"/>
      </c:lineChart>
      <c:catAx>
        <c:axId val="8419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564119232"/>
        <c:crosses val="autoZero"/>
        <c:auto val="1"/>
        <c:lblAlgn val="ctr"/>
        <c:lblOffset val="100"/>
        <c:noMultiLvlLbl val="0"/>
      </c:catAx>
      <c:valAx>
        <c:axId val="564119232"/>
        <c:scaling>
          <c:orientation val="minMax"/>
          <c:min val="1.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198400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0802919169921838E-2"/>
          <c:y val="4.756652511822599E-2"/>
          <c:w val="0.96284618074985018"/>
          <c:h val="9.2889899972114123E-2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b="1">
          <a:latin typeface="Gisha" pitchFamily="34" charset="-79"/>
          <a:cs typeface="Gisha" pitchFamily="34" charset="-79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'הערכה עצמית של בריאות'!$C$3</c:f>
              <c:strCache>
                <c:ptCount val="1"/>
                <c:pt idx="0">
                  <c:v>אחוז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'הערכה עצמית של בריאות'!$B$6:$B$36</c:f>
              <c:strCache>
                <c:ptCount val="31"/>
                <c:pt idx="0">
                  <c:v>גברים</c:v>
                </c:pt>
                <c:pt idx="1">
                  <c:v>נשים</c:v>
                </c:pt>
                <c:pt idx="3">
                  <c:v> יהודים ואחרים</c:v>
                </c:pt>
                <c:pt idx="4">
                  <c:v> ערבים </c:v>
                </c:pt>
                <c:pt idx="6">
                  <c:v>עולי 1990 ואילך </c:v>
                </c:pt>
                <c:pt idx="8">
                  <c:v>נשואים</c:v>
                </c:pt>
                <c:pt idx="9">
                  <c:v>גרושים</c:v>
                </c:pt>
                <c:pt idx="10">
                  <c:v>אלמנים</c:v>
                </c:pt>
                <c:pt idx="11">
                  <c:v>רווקים</c:v>
                </c:pt>
                <c:pt idx="13">
                  <c:v>חרדים</c:v>
                </c:pt>
                <c:pt idx="14">
                  <c:v>דתיים</c:v>
                </c:pt>
                <c:pt idx="15">
                  <c:v>מסורתיים</c:v>
                </c:pt>
                <c:pt idx="16">
                  <c:v>לא דתיים, חילוניים</c:v>
                </c:pt>
                <c:pt idx="18">
                  <c:v>   דתיים מאוד ודתיים</c:v>
                </c:pt>
                <c:pt idx="19">
                  <c:v>   לא כל כך דתיים</c:v>
                </c:pt>
                <c:pt idx="20">
                  <c:v>   לא דתיים</c:v>
                </c:pt>
                <c:pt idx="22">
                  <c:v>תעודת סיום בי''ס יסודי</c:v>
                </c:pt>
                <c:pt idx="23">
                  <c:v>תעודת סיום בי''ס תיכון</c:v>
                </c:pt>
                <c:pt idx="24">
                  <c:v>תעודת בגרות </c:v>
                </c:pt>
                <c:pt idx="25">
                  <c:v>תעודה על-תיכונית</c:v>
                </c:pt>
                <c:pt idx="26">
                  <c:v>תעודה אקדמית</c:v>
                </c:pt>
                <c:pt idx="28">
                  <c:v>עד 2,000</c:v>
                </c:pt>
                <c:pt idx="29">
                  <c:v>2,001-4,000</c:v>
                </c:pt>
                <c:pt idx="30">
                  <c:v>4,001 ומעלה</c:v>
                </c:pt>
              </c:strCache>
            </c:strRef>
          </c:cat>
          <c:val>
            <c:numRef>
              <c:f>'הערכה עצמית של בריאות'!$C$6:$C$36</c:f>
              <c:numCache>
                <c:formatCode>0</c:formatCode>
                <c:ptCount val="31"/>
                <c:pt idx="0">
                  <c:v>51.4</c:v>
                </c:pt>
                <c:pt idx="1">
                  <c:v>48</c:v>
                </c:pt>
                <c:pt idx="3">
                  <c:v>50.7</c:v>
                </c:pt>
                <c:pt idx="4">
                  <c:v>44.7</c:v>
                </c:pt>
                <c:pt idx="6">
                  <c:v>31.4</c:v>
                </c:pt>
                <c:pt idx="8">
                  <c:v>49.2</c:v>
                </c:pt>
                <c:pt idx="9">
                  <c:v>42.3</c:v>
                </c:pt>
                <c:pt idx="10">
                  <c:v>14.1</c:v>
                </c:pt>
                <c:pt idx="11">
                  <c:v>51.8</c:v>
                </c:pt>
                <c:pt idx="13">
                  <c:v>60.3</c:v>
                </c:pt>
                <c:pt idx="14">
                  <c:v>55.4</c:v>
                </c:pt>
                <c:pt idx="15">
                  <c:v>47.2</c:v>
                </c:pt>
                <c:pt idx="16">
                  <c:v>52.7</c:v>
                </c:pt>
                <c:pt idx="18">
                  <c:v>40.299999999999997</c:v>
                </c:pt>
                <c:pt idx="19">
                  <c:v>45.6</c:v>
                </c:pt>
                <c:pt idx="20">
                  <c:v>48.6</c:v>
                </c:pt>
                <c:pt idx="22">
                  <c:v>40.6</c:v>
                </c:pt>
                <c:pt idx="23">
                  <c:v>48.3</c:v>
                </c:pt>
                <c:pt idx="24">
                  <c:v>52.3</c:v>
                </c:pt>
                <c:pt idx="25">
                  <c:v>50.5</c:v>
                </c:pt>
                <c:pt idx="26">
                  <c:v>52.9</c:v>
                </c:pt>
                <c:pt idx="28">
                  <c:v>43.5</c:v>
                </c:pt>
                <c:pt idx="29">
                  <c:v>47.4</c:v>
                </c:pt>
                <c:pt idx="30">
                  <c:v>54.4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DE-441A-AFC4-19427EBF2B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966016"/>
        <c:axId val="564120960"/>
      </c:barChart>
      <c:catAx>
        <c:axId val="82966016"/>
        <c:scaling>
          <c:orientation val="maxMin"/>
        </c:scaling>
        <c:delete val="0"/>
        <c:axPos val="r"/>
        <c:numFmt formatCode="General" sourceLinked="0"/>
        <c:majorTickMark val="out"/>
        <c:minorTickMark val="none"/>
        <c:tickLblPos val="nextTo"/>
        <c:crossAx val="564120960"/>
        <c:crosses val="autoZero"/>
        <c:auto val="1"/>
        <c:lblAlgn val="ctr"/>
        <c:lblOffset val="100"/>
        <c:noMultiLvlLbl val="0"/>
      </c:catAx>
      <c:valAx>
        <c:axId val="564120960"/>
        <c:scaling>
          <c:orientation val="maxMin"/>
        </c:scaling>
        <c:delete val="0"/>
        <c:axPos val="t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2966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 b="1" i="0">
          <a:latin typeface="Gisha" pitchFamily="34" charset="-79"/>
          <a:cs typeface="Gisha" pitchFamily="34" charset="-79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3C40-477A-4C09-90C9-C227430F7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B4D20-5288-41E0-AA85-ABC2F2B6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moh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אמה אברבוך ד"ר</dc:creator>
  <cp:lastModifiedBy>אייל בסון</cp:lastModifiedBy>
  <cp:revision>2</cp:revision>
  <cp:lastPrinted>2016-11-29T11:07:00Z</cp:lastPrinted>
  <dcterms:created xsi:type="dcterms:W3CDTF">2016-12-07T10:21:00Z</dcterms:created>
  <dcterms:modified xsi:type="dcterms:W3CDTF">2016-12-07T10:21:00Z</dcterms:modified>
</cp:coreProperties>
</file>