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9A" w:rsidRPr="00DB7060" w:rsidRDefault="00E43C9A" w:rsidP="00E43C9A">
      <w:pPr>
        <w:pStyle w:val="HeadHatzaotHok"/>
        <w:rPr>
          <w:sz w:val="28"/>
          <w:szCs w:val="28"/>
          <w:rtl/>
        </w:rPr>
      </w:pPr>
      <w:r w:rsidRPr="00DB7060">
        <w:rPr>
          <w:rFonts w:hint="cs"/>
          <w:sz w:val="28"/>
          <w:szCs w:val="28"/>
          <w:rtl/>
        </w:rPr>
        <w:t xml:space="preserve">הכנסת </w:t>
      </w:r>
      <w:bookmarkStart w:id="0" w:name="KnessetNum"/>
      <w:r w:rsidRPr="00B27FAE">
        <w:rPr>
          <w:sz w:val="28"/>
          <w:szCs w:val="28"/>
          <w:rtl/>
        </w:rPr>
        <w:t>התשע-עשרה</w:t>
      </w:r>
      <w:bookmarkEnd w:id="0"/>
    </w:p>
    <w:p w:rsidR="00E43C9A" w:rsidRPr="00F4032D" w:rsidRDefault="00E43C9A" w:rsidP="00E43C9A">
      <w:pPr>
        <w:rPr>
          <w:rFonts w:cs="David"/>
          <w:b/>
          <w:bCs/>
          <w:sz w:val="26"/>
          <w:szCs w:val="26"/>
          <w:rtl/>
        </w:rPr>
      </w:pPr>
    </w:p>
    <w:p w:rsidR="00E43C9A" w:rsidRPr="007746FF" w:rsidRDefault="00E43C9A" w:rsidP="00E43C9A">
      <w:pPr>
        <w:pStyle w:val="David"/>
        <w:ind w:left="2880" w:firstLine="663"/>
        <w:rPr>
          <w:b/>
          <w:bCs/>
          <w:rtl/>
        </w:rPr>
      </w:pPr>
      <w:bookmarkStart w:id="1" w:name="MKsSingleOrMulti"/>
      <w:r w:rsidRPr="00F4032D">
        <w:rPr>
          <w:b/>
          <w:bCs/>
          <w:rtl/>
        </w:rPr>
        <w:t>יוזמים:      חברי הכנסת</w:t>
      </w:r>
      <w:bookmarkEnd w:id="1"/>
      <w:r w:rsidRPr="00F4032D">
        <w:rPr>
          <w:b/>
          <w:bCs/>
        </w:rPr>
        <w:tab/>
      </w:r>
      <w:bookmarkStart w:id="2" w:name="MKs"/>
      <w:r w:rsidRPr="007746FF">
        <w:rPr>
          <w:b/>
          <w:bCs/>
          <w:rtl/>
        </w:rPr>
        <w:t>יפעת קריב</w:t>
      </w:r>
    </w:p>
    <w:p w:rsidR="00E43C9A" w:rsidRDefault="00E43C9A" w:rsidP="00E43C9A">
      <w:pPr>
        <w:pStyle w:val="David"/>
        <w:ind w:left="2880" w:firstLine="663"/>
      </w:pPr>
      <w:r w:rsidRPr="00B27FAE">
        <w:rPr>
          <w:b/>
          <w:bCs/>
          <w:rtl/>
        </w:rPr>
        <w:tab/>
      </w:r>
      <w:r w:rsidRPr="00B27FAE">
        <w:rPr>
          <w:b/>
          <w:bCs/>
          <w:rtl/>
        </w:rPr>
        <w:tab/>
      </w:r>
      <w:r w:rsidRPr="00B27FAE">
        <w:rPr>
          <w:b/>
          <w:bCs/>
          <w:rtl/>
        </w:rPr>
        <w:tab/>
      </w:r>
      <w:r w:rsidRPr="00B27FAE">
        <w:rPr>
          <w:b/>
          <w:bCs/>
          <w:rtl/>
        </w:rPr>
        <w:tab/>
      </w:r>
      <w:r w:rsidRPr="00B27FAE">
        <w:rPr>
          <w:b/>
          <w:bCs/>
          <w:rtl/>
        </w:rPr>
        <w:tab/>
      </w:r>
      <w:bookmarkStart w:id="3" w:name="MKsSingleOrMulti1"/>
      <w:bookmarkEnd w:id="2"/>
      <w:bookmarkEnd w:id="3"/>
    </w:p>
    <w:p w:rsidR="00E43C9A" w:rsidRDefault="00E43C9A" w:rsidP="00E43C9A">
      <w:pPr>
        <w:pStyle w:val="David"/>
        <w:ind w:left="2880" w:firstLine="663"/>
        <w:rPr>
          <w:rtl/>
        </w:rPr>
      </w:pPr>
      <w:r>
        <w:rPr>
          <w:rFonts w:hint="cs"/>
          <w:rtl/>
        </w:rPr>
        <w:tab/>
      </w:r>
      <w:bookmarkStart w:id="4" w:name="MKs1"/>
      <w:bookmarkEnd w:id="4"/>
      <w:r>
        <w:rPr>
          <w:rFonts w:hint="cs"/>
          <w:rtl/>
        </w:rPr>
        <w:tab/>
      </w:r>
      <w:r>
        <w:rPr>
          <w:rFonts w:hint="cs"/>
          <w:rtl/>
        </w:rPr>
        <w:tab/>
      </w:r>
      <w:r>
        <w:rPr>
          <w:rFonts w:hint="cs"/>
          <w:rtl/>
        </w:rPr>
        <w:tab/>
      </w:r>
    </w:p>
    <w:p w:rsidR="00E43C9A" w:rsidRDefault="00E43C9A" w:rsidP="00E43C9A">
      <w:pPr>
        <w:pStyle w:val="David"/>
        <w:ind w:left="2880" w:firstLine="663"/>
        <w:rPr>
          <w:rtl/>
        </w:rPr>
      </w:pPr>
      <w:r>
        <w:rPr>
          <w:noProof/>
          <w:rtl/>
          <w:lang w:eastAsia="en-US"/>
        </w:rPr>
        <mc:AlternateContent>
          <mc:Choice Requires="wps">
            <w:drawing>
              <wp:anchor distT="0" distB="0" distL="114300" distR="114300" simplePos="0" relativeHeight="251659264" behindDoc="0" locked="0" layoutInCell="1" allowOverlap="1" wp14:anchorId="4A330A5A" wp14:editId="2320FE3B">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BD67ED7"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Pr>
          <w:rFonts w:hint="cs"/>
          <w:rtl/>
        </w:rPr>
        <w:tab/>
      </w:r>
      <w:r>
        <w:rPr>
          <w:rFonts w:hint="cs"/>
          <w:rtl/>
        </w:rPr>
        <w:tab/>
      </w:r>
      <w:r>
        <w:rPr>
          <w:rFonts w:hint="cs"/>
          <w:rtl/>
        </w:rPr>
        <w:tab/>
      </w:r>
      <w:r>
        <w:rPr>
          <w:rFonts w:hint="cs"/>
          <w:rtl/>
        </w:rPr>
        <w:tab/>
      </w:r>
      <w:bookmarkStart w:id="5" w:name="LawNum"/>
      <w:r>
        <w:rPr>
          <w:rFonts w:hint="cs"/>
          <w:rtl/>
        </w:rPr>
        <w:tab/>
      </w:r>
      <w:bookmarkEnd w:id="5"/>
    </w:p>
    <w:p w:rsidR="00E43C9A" w:rsidRPr="00FD0AE5" w:rsidRDefault="00E43C9A" w:rsidP="00E43C9A">
      <w:pPr>
        <w:pStyle w:val="David"/>
        <w:ind w:left="2880" w:firstLine="663"/>
        <w:rPr>
          <w:rtl/>
        </w:rPr>
      </w:pPr>
    </w:p>
    <w:p w:rsidR="00E43C9A" w:rsidRPr="007773A0" w:rsidRDefault="007773A0" w:rsidP="00C63127">
      <w:pPr>
        <w:pStyle w:val="HeadHatzaotHok"/>
        <w:tabs>
          <w:tab w:val="left" w:pos="4071"/>
          <w:tab w:val="center" w:pos="4819"/>
        </w:tabs>
        <w:spacing w:before="0"/>
        <w:rPr>
          <w:sz w:val="26"/>
          <w:rtl/>
        </w:rPr>
      </w:pPr>
      <w:bookmarkStart w:id="6" w:name="_GoBack"/>
      <w:r w:rsidRPr="007773A0">
        <w:rPr>
          <w:rFonts w:asciiTheme="minorBidi" w:hAnsiTheme="minorBidi" w:hint="cs"/>
          <w:sz w:val="24"/>
          <w:szCs w:val="24"/>
          <w:rtl/>
        </w:rPr>
        <w:t>הצעת חוק פקודת הרופאים (</w:t>
      </w:r>
      <w:r>
        <w:rPr>
          <w:rFonts w:asciiTheme="minorBidi" w:hAnsiTheme="minorBidi" w:hint="cs"/>
          <w:sz w:val="24"/>
          <w:szCs w:val="24"/>
          <w:rtl/>
        </w:rPr>
        <w:t>התליית</w:t>
      </w:r>
      <w:r w:rsidRPr="007773A0">
        <w:rPr>
          <w:rFonts w:asciiTheme="minorBidi" w:hAnsiTheme="minorBidi" w:hint="cs"/>
          <w:sz w:val="24"/>
          <w:szCs w:val="24"/>
          <w:rtl/>
        </w:rPr>
        <w:t xml:space="preserve"> </w:t>
      </w:r>
      <w:proofErr w:type="spellStart"/>
      <w:r w:rsidRPr="007773A0">
        <w:rPr>
          <w:rFonts w:asciiTheme="minorBidi" w:hAnsiTheme="minorBidi" w:hint="cs"/>
          <w:sz w:val="24"/>
          <w:szCs w:val="24"/>
          <w:rtl/>
        </w:rPr>
        <w:t>רשיון</w:t>
      </w:r>
      <w:proofErr w:type="spellEnd"/>
      <w:r w:rsidRPr="007773A0">
        <w:rPr>
          <w:rFonts w:asciiTheme="minorBidi" w:hAnsiTheme="minorBidi" w:hint="cs"/>
          <w:sz w:val="24"/>
          <w:szCs w:val="24"/>
          <w:rtl/>
        </w:rPr>
        <w:t xml:space="preserve"> לרופא עבריין מין), התשע"ד - 2014</w:t>
      </w:r>
    </w:p>
    <w:tbl>
      <w:tblPr>
        <w:bidiVisual/>
        <w:tblW w:w="9639" w:type="dxa"/>
        <w:tblInd w:w="2" w:type="dxa"/>
        <w:tblLayout w:type="fixed"/>
        <w:tblCellMar>
          <w:top w:w="57" w:type="dxa"/>
          <w:left w:w="0" w:type="dxa"/>
          <w:bottom w:w="57" w:type="dxa"/>
          <w:right w:w="0" w:type="dxa"/>
        </w:tblCellMar>
        <w:tblLook w:val="01E0" w:firstRow="1" w:lastRow="1" w:firstColumn="1" w:lastColumn="1" w:noHBand="0" w:noVBand="0"/>
      </w:tblPr>
      <w:tblGrid>
        <w:gridCol w:w="2693"/>
        <w:gridCol w:w="425"/>
        <w:gridCol w:w="6521"/>
      </w:tblGrid>
      <w:tr w:rsidR="00E43C9A" w:rsidTr="00E95C4A">
        <w:trPr>
          <w:cantSplit/>
          <w:trHeight w:val="60"/>
        </w:trPr>
        <w:tc>
          <w:tcPr>
            <w:tcW w:w="2693" w:type="dxa"/>
          </w:tcPr>
          <w:bookmarkEnd w:id="6"/>
          <w:p w:rsidR="00E43C9A" w:rsidRDefault="007773A0" w:rsidP="009376DD">
            <w:pPr>
              <w:pStyle w:val="TableSideHeading"/>
              <w:keepLines w:val="0"/>
              <w:rPr>
                <w:rtl/>
              </w:rPr>
            </w:pPr>
            <w:r>
              <w:rPr>
                <w:rFonts w:hint="cs"/>
                <w:rtl/>
              </w:rPr>
              <w:t>הוספת סעיף 4</w:t>
            </w:r>
            <w:r w:rsidR="009376DD">
              <w:rPr>
                <w:rFonts w:hint="cs"/>
                <w:rtl/>
              </w:rPr>
              <w:t>4ג</w:t>
            </w:r>
            <w:r>
              <w:rPr>
                <w:rFonts w:hint="cs"/>
                <w:rtl/>
              </w:rPr>
              <w:t>.</w:t>
            </w:r>
          </w:p>
        </w:tc>
        <w:tc>
          <w:tcPr>
            <w:tcW w:w="425" w:type="dxa"/>
          </w:tcPr>
          <w:p w:rsidR="00E43C9A" w:rsidRDefault="00E43C9A" w:rsidP="00EA58E5">
            <w:pPr>
              <w:pStyle w:val="TableText"/>
              <w:keepLines w:val="0"/>
              <w:rPr>
                <w:rtl/>
              </w:rPr>
            </w:pPr>
            <w:r>
              <w:rPr>
                <w:rFonts w:hint="cs"/>
                <w:rtl/>
              </w:rPr>
              <w:t>1.</w:t>
            </w:r>
          </w:p>
        </w:tc>
        <w:tc>
          <w:tcPr>
            <w:tcW w:w="6521" w:type="dxa"/>
          </w:tcPr>
          <w:p w:rsidR="00E43C9A" w:rsidRDefault="007773A0" w:rsidP="009376DD">
            <w:pPr>
              <w:pStyle w:val="TableHead"/>
              <w:keepLines w:val="0"/>
              <w:jc w:val="both"/>
              <w:rPr>
                <w:b w:val="0"/>
                <w:bCs w:val="0"/>
                <w:rtl/>
              </w:rPr>
            </w:pPr>
            <w:r w:rsidRPr="007773A0">
              <w:rPr>
                <w:b w:val="0"/>
                <w:bCs w:val="0"/>
                <w:rtl/>
              </w:rPr>
              <w:t>בפקוד</w:t>
            </w:r>
            <w:r>
              <w:rPr>
                <w:b w:val="0"/>
                <w:bCs w:val="0"/>
                <w:rtl/>
              </w:rPr>
              <w:t>ת הרופאים [נוסח חדש] תשל"ז-1976</w:t>
            </w:r>
            <w:r>
              <w:rPr>
                <w:rFonts w:hint="cs"/>
                <w:b w:val="0"/>
                <w:bCs w:val="0"/>
                <w:rtl/>
              </w:rPr>
              <w:t xml:space="preserve">, לאחר סעיף </w:t>
            </w:r>
            <w:r w:rsidR="009376DD">
              <w:rPr>
                <w:rFonts w:hint="cs"/>
                <w:b w:val="0"/>
                <w:bCs w:val="0"/>
                <w:rtl/>
              </w:rPr>
              <w:t>44ב</w:t>
            </w:r>
            <w:r>
              <w:rPr>
                <w:rFonts w:hint="cs"/>
                <w:b w:val="0"/>
                <w:bCs w:val="0"/>
                <w:rtl/>
              </w:rPr>
              <w:t xml:space="preserve"> יבוא:</w:t>
            </w:r>
          </w:p>
        </w:tc>
      </w:tr>
      <w:tr w:rsidR="00E43C9A" w:rsidTr="00E95C4A">
        <w:trPr>
          <w:cantSplit/>
          <w:trHeight w:val="60"/>
        </w:trPr>
        <w:tc>
          <w:tcPr>
            <w:tcW w:w="2693" w:type="dxa"/>
          </w:tcPr>
          <w:p w:rsidR="00E43C9A" w:rsidRDefault="007773A0" w:rsidP="00EA58E5">
            <w:pPr>
              <w:pStyle w:val="TableSideHeading"/>
              <w:keepLines w:val="0"/>
            </w:pPr>
            <w:r>
              <w:rPr>
                <w:rFonts w:hint="cs"/>
                <w:rtl/>
              </w:rPr>
              <w:t xml:space="preserve">התליית </w:t>
            </w:r>
            <w:proofErr w:type="spellStart"/>
            <w:r>
              <w:rPr>
                <w:rFonts w:hint="cs"/>
                <w:rtl/>
              </w:rPr>
              <w:t>רשיון</w:t>
            </w:r>
            <w:proofErr w:type="spellEnd"/>
            <w:r>
              <w:rPr>
                <w:rFonts w:hint="cs"/>
                <w:rtl/>
              </w:rPr>
              <w:t xml:space="preserve"> לרופא שהורשע בעבירת מין</w:t>
            </w:r>
          </w:p>
        </w:tc>
        <w:tc>
          <w:tcPr>
            <w:tcW w:w="425" w:type="dxa"/>
          </w:tcPr>
          <w:p w:rsidR="00E43C9A" w:rsidRDefault="00E43C9A" w:rsidP="00EA58E5">
            <w:pPr>
              <w:pStyle w:val="TableText"/>
              <w:keepLines w:val="0"/>
            </w:pPr>
            <w:r>
              <w:rPr>
                <w:rFonts w:hint="cs"/>
                <w:rtl/>
              </w:rPr>
              <w:t>2.</w:t>
            </w:r>
          </w:p>
        </w:tc>
        <w:tc>
          <w:tcPr>
            <w:tcW w:w="6521" w:type="dxa"/>
          </w:tcPr>
          <w:p w:rsidR="007773A0" w:rsidRPr="0036651D" w:rsidRDefault="009376DD" w:rsidP="009376DD">
            <w:pPr>
              <w:pStyle w:val="TableHead"/>
              <w:keepLines w:val="0"/>
              <w:jc w:val="both"/>
              <w:rPr>
                <w:b w:val="0"/>
                <w:bCs w:val="0"/>
              </w:rPr>
            </w:pPr>
            <w:r w:rsidRPr="009376DD">
              <w:rPr>
                <w:b w:val="0"/>
                <w:bCs w:val="0"/>
                <w:rtl/>
              </w:rPr>
              <w:t xml:space="preserve">על אף האמור בסעיף 41, ראה המנהל על יסוד הודעה של רשם בית המשפט לפי סעיף 56, שרופא מורשה הורשע בעבירת מין כהגדרתה בחוק למניעת העסקה של עברייני מין במוסדות מסוימים, </w:t>
            </w:r>
            <w:proofErr w:type="spellStart"/>
            <w:r w:rsidRPr="009376DD">
              <w:rPr>
                <w:b w:val="0"/>
                <w:bCs w:val="0"/>
                <w:rtl/>
              </w:rPr>
              <w:t>התשס"א</w:t>
            </w:r>
            <w:proofErr w:type="spellEnd"/>
            <w:r w:rsidRPr="009376DD">
              <w:rPr>
                <w:b w:val="0"/>
                <w:bCs w:val="0"/>
                <w:rtl/>
              </w:rPr>
              <w:t xml:space="preserve">–2001, ורישיונו של אותו רופא אינו </w:t>
            </w:r>
            <w:proofErr w:type="spellStart"/>
            <w:r w:rsidRPr="009376DD">
              <w:rPr>
                <w:b w:val="0"/>
                <w:bCs w:val="0"/>
                <w:rtl/>
              </w:rPr>
              <w:t>מותלה</w:t>
            </w:r>
            <w:proofErr w:type="spellEnd"/>
            <w:r w:rsidRPr="009376DD">
              <w:rPr>
                <w:b w:val="0"/>
                <w:bCs w:val="0"/>
                <w:rtl/>
              </w:rPr>
              <w:t xml:space="preserve"> לפי סעיפים 44א או 44ב לפקודה, יתלה המנהל את רישיונו בצו חתום בידיו עד להחלטת השר בקובלנה כנגד אותו רופא לפי סעיף 41</w:t>
            </w:r>
          </w:p>
        </w:tc>
      </w:tr>
      <w:tr w:rsidR="009376DD" w:rsidTr="00E95C4A">
        <w:trPr>
          <w:cantSplit/>
          <w:trHeight w:val="60"/>
        </w:trPr>
        <w:tc>
          <w:tcPr>
            <w:tcW w:w="2693" w:type="dxa"/>
          </w:tcPr>
          <w:p w:rsidR="009376DD" w:rsidRDefault="009376DD" w:rsidP="00EA58E5">
            <w:pPr>
              <w:pStyle w:val="TableSideHeading"/>
            </w:pPr>
          </w:p>
        </w:tc>
        <w:tc>
          <w:tcPr>
            <w:tcW w:w="425" w:type="dxa"/>
          </w:tcPr>
          <w:p w:rsidR="009376DD" w:rsidRDefault="009376DD" w:rsidP="00EA58E5">
            <w:pPr>
              <w:pStyle w:val="TableText"/>
              <w:rPr>
                <w:rtl/>
              </w:rPr>
            </w:pPr>
          </w:p>
        </w:tc>
        <w:tc>
          <w:tcPr>
            <w:tcW w:w="6521" w:type="dxa"/>
          </w:tcPr>
          <w:p w:rsidR="009376DD" w:rsidRPr="007773A0" w:rsidRDefault="009376DD" w:rsidP="007773A0">
            <w:pPr>
              <w:pStyle w:val="TableBlock"/>
              <w:rPr>
                <w:rtl/>
              </w:rPr>
            </w:pPr>
          </w:p>
        </w:tc>
      </w:tr>
      <w:tr w:rsidR="009376DD" w:rsidTr="00E95C4A">
        <w:trPr>
          <w:cantSplit/>
          <w:trHeight w:val="60"/>
        </w:trPr>
        <w:tc>
          <w:tcPr>
            <w:tcW w:w="2693" w:type="dxa"/>
          </w:tcPr>
          <w:p w:rsidR="009376DD" w:rsidRDefault="009376DD" w:rsidP="00EA58E5">
            <w:pPr>
              <w:pStyle w:val="TableSideHeading"/>
              <w:rPr>
                <w:rtl/>
              </w:rPr>
            </w:pPr>
          </w:p>
        </w:tc>
        <w:tc>
          <w:tcPr>
            <w:tcW w:w="425" w:type="dxa"/>
          </w:tcPr>
          <w:p w:rsidR="009376DD" w:rsidRDefault="009376DD" w:rsidP="00EA58E5">
            <w:pPr>
              <w:pStyle w:val="TableText"/>
              <w:rPr>
                <w:rtl/>
              </w:rPr>
            </w:pPr>
          </w:p>
        </w:tc>
        <w:tc>
          <w:tcPr>
            <w:tcW w:w="6521" w:type="dxa"/>
          </w:tcPr>
          <w:p w:rsidR="009376DD" w:rsidRDefault="009376DD" w:rsidP="007773A0">
            <w:pPr>
              <w:pStyle w:val="TableBlock"/>
              <w:rPr>
                <w:rtl/>
              </w:rPr>
            </w:pPr>
          </w:p>
        </w:tc>
      </w:tr>
    </w:tbl>
    <w:p w:rsidR="00E43C9A" w:rsidRDefault="00E43C9A" w:rsidP="009376DD">
      <w:pPr>
        <w:pStyle w:val="HeadDivreiHesber"/>
        <w:rPr>
          <w:rtl/>
        </w:rPr>
      </w:pPr>
      <w:r>
        <w:rPr>
          <w:rFonts w:hint="cs"/>
          <w:rtl/>
        </w:rPr>
        <w:t>דברי הסבר</w:t>
      </w:r>
    </w:p>
    <w:p w:rsidR="00E95C4A" w:rsidRDefault="007773A0" w:rsidP="007773A0">
      <w:pPr>
        <w:pStyle w:val="Hesber"/>
        <w:rPr>
          <w:rtl/>
        </w:rPr>
      </w:pPr>
      <w:r>
        <w:rPr>
          <w:rtl/>
        </w:rPr>
        <w:t>כיום, רופא אשר הורשע בעבירת מין יכול להמשיך לעסוק ברפואה ובכלל זה להתייחד עם נשים, חסרי ישע, קטינים ואנשים עם מוגבלויות במסגרת הטיפול בהם, ללא בקרה או השגחה, לרוב כשמטופליו אינם יודעים כלל שהוא הורשע. להגנתם של המטופלים יש רק את חוק איסור העסקת עברייני מין שמונע מבי"ח או מרפאה להעסיק עבריין מין שלא פעם הם כלל לא יודעים על כך.  רופא זה עדיין יכול לעבוד בקליניקה פרטית או מוסד פרטי.</w:t>
      </w:r>
    </w:p>
    <w:p w:rsidR="007773A0" w:rsidRDefault="007773A0" w:rsidP="007773A0">
      <w:pPr>
        <w:pStyle w:val="Hesber"/>
        <w:rPr>
          <w:rtl/>
        </w:rPr>
      </w:pPr>
      <w:r>
        <w:rPr>
          <w:rtl/>
        </w:rPr>
        <w:t xml:space="preserve"> שלילת רישיונו של רופא מורשע בעברות מין </w:t>
      </w:r>
      <w:r w:rsidR="00E95C4A">
        <w:rPr>
          <w:rFonts w:hint="cs"/>
          <w:rtl/>
        </w:rPr>
        <w:t xml:space="preserve">או התלייתה </w:t>
      </w:r>
      <w:r>
        <w:rPr>
          <w:rtl/>
        </w:rPr>
        <w:t>כיום תלויה ברצונו של שר הבריאות אך ורק עם הוגשה קובלנה או בקשה וגם אז הוא רשאי לבחור בנזיפה או אזהרה ולא בשלילה והוא מחויב קודם להחלטתו לשמוע את טענותיו של הרופא כאשר תהליך זה יכול להיות ארוך ומסורבל.</w:t>
      </w:r>
    </w:p>
    <w:p w:rsidR="00E43C9A" w:rsidRDefault="007773A0" w:rsidP="009376DD">
      <w:pPr>
        <w:pStyle w:val="Hesber"/>
        <w:rPr>
          <w:rtl/>
        </w:rPr>
      </w:pPr>
      <w:r>
        <w:rPr>
          <w:rtl/>
        </w:rPr>
        <w:t xml:space="preserve">חוק זה נועד למנוע עוול וסכנה זאת לציבור ולמעשה </w:t>
      </w:r>
      <w:r w:rsidR="00E95C4A">
        <w:rPr>
          <w:rFonts w:hint="cs"/>
          <w:rtl/>
        </w:rPr>
        <w:t>מתלה</w:t>
      </w:r>
      <w:r>
        <w:rPr>
          <w:rtl/>
        </w:rPr>
        <w:t xml:space="preserve"> את רישיונו של הרופא מידית עם קבלת הרשעה על עבירת מין, </w:t>
      </w:r>
      <w:r w:rsidR="00E95C4A">
        <w:rPr>
          <w:rFonts w:hint="cs"/>
          <w:rtl/>
        </w:rPr>
        <w:t>התלייה זאת תהיה עד להחלטת ועדה מיוחדת שימנה השר שתחליט אם לבטל את רישיונ</w:t>
      </w:r>
      <w:r w:rsidR="00E95C4A">
        <w:rPr>
          <w:rFonts w:hint="eastAsia"/>
          <w:rtl/>
        </w:rPr>
        <w:t>ו</w:t>
      </w:r>
      <w:r w:rsidR="00E95C4A">
        <w:rPr>
          <w:rFonts w:hint="cs"/>
          <w:rtl/>
        </w:rPr>
        <w:t xml:space="preserve"> או </w:t>
      </w:r>
      <w:proofErr w:type="spellStart"/>
      <w:r w:rsidR="00E95C4A">
        <w:rPr>
          <w:rFonts w:hint="cs"/>
          <w:rtl/>
        </w:rPr>
        <w:t>לה</w:t>
      </w:r>
      <w:r w:rsidR="009376DD">
        <w:rPr>
          <w:rFonts w:hint="cs"/>
          <w:rtl/>
        </w:rPr>
        <w:t>תלותו</w:t>
      </w:r>
      <w:proofErr w:type="spellEnd"/>
      <w:r w:rsidR="009376DD">
        <w:rPr>
          <w:rFonts w:hint="cs"/>
          <w:rtl/>
        </w:rPr>
        <w:t xml:space="preserve"> או שתספיק נזיפה או התראה</w:t>
      </w:r>
      <w:r>
        <w:rPr>
          <w:rtl/>
        </w:rPr>
        <w:t>, ובכך מגינה על ציבור המטופל</w:t>
      </w:r>
      <w:r w:rsidR="00E95C4A">
        <w:rPr>
          <w:rtl/>
        </w:rPr>
        <w:t>ים מפני עבריינות מין מצד רופאיו</w:t>
      </w:r>
      <w:r w:rsidR="00E95C4A">
        <w:rPr>
          <w:rFonts w:hint="cs"/>
          <w:rtl/>
        </w:rPr>
        <w:t xml:space="preserve">. </w:t>
      </w:r>
    </w:p>
    <w:p w:rsidR="00E82E4E" w:rsidRDefault="00E82E4E" w:rsidP="00E43C9A">
      <w:pPr>
        <w:ind w:firstLine="0"/>
      </w:pPr>
    </w:p>
    <w:sectPr w:rsidR="00E82E4E" w:rsidSect="001207F8">
      <w:footerReference w:type="even" r:id="rId7"/>
      <w:footerReference w:type="default" r:id="rId8"/>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2D" w:rsidRDefault="00FA0A2D">
      <w:pPr>
        <w:spacing w:before="0" w:line="240" w:lineRule="auto"/>
      </w:pPr>
      <w:r>
        <w:separator/>
      </w:r>
    </w:p>
  </w:endnote>
  <w:endnote w:type="continuationSeparator" w:id="0">
    <w:p w:rsidR="00FA0A2D" w:rsidRDefault="00FA0A2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E43C9A" w:rsidP="001207F8">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1A0623" w:rsidRDefault="00FA0A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E43C9A" w:rsidP="001207F8">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9376DD">
      <w:rPr>
        <w:rStyle w:val="a5"/>
        <w:noProof/>
        <w:rtl/>
      </w:rPr>
      <w:t>2</w:t>
    </w:r>
    <w:r>
      <w:rPr>
        <w:rStyle w:val="a5"/>
        <w:rtl/>
      </w:rPr>
      <w:fldChar w:fldCharType="end"/>
    </w:r>
  </w:p>
  <w:p w:rsidR="001A0623" w:rsidRDefault="00FA0A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2D" w:rsidRDefault="00FA0A2D">
      <w:pPr>
        <w:spacing w:before="0" w:line="240" w:lineRule="auto"/>
      </w:pPr>
      <w:r>
        <w:separator/>
      </w:r>
    </w:p>
  </w:footnote>
  <w:footnote w:type="continuationSeparator" w:id="0">
    <w:p w:rsidR="00FA0A2D" w:rsidRDefault="00FA0A2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9A"/>
    <w:rsid w:val="00023B5C"/>
    <w:rsid w:val="007773A0"/>
    <w:rsid w:val="009376DD"/>
    <w:rsid w:val="00C63127"/>
    <w:rsid w:val="00C80485"/>
    <w:rsid w:val="00E046FE"/>
    <w:rsid w:val="00E43C9A"/>
    <w:rsid w:val="00E82E4E"/>
    <w:rsid w:val="00E95C4A"/>
    <w:rsid w:val="00FA0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9A"/>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rsid w:val="00E43C9A"/>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TableText">
    <w:name w:val="Table Text"/>
    <w:basedOn w:val="a"/>
    <w:rsid w:val="00E43C9A"/>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E43C9A"/>
  </w:style>
  <w:style w:type="paragraph" w:customStyle="1" w:styleId="TableBlock">
    <w:name w:val="Table Block"/>
    <w:basedOn w:val="TableText"/>
    <w:rsid w:val="00E43C9A"/>
    <w:pPr>
      <w:ind w:right="0"/>
      <w:jc w:val="both"/>
    </w:pPr>
  </w:style>
  <w:style w:type="paragraph" w:customStyle="1" w:styleId="TableHead">
    <w:name w:val="Table Head"/>
    <w:basedOn w:val="TableText"/>
    <w:rsid w:val="00E43C9A"/>
    <w:pPr>
      <w:ind w:right="0"/>
      <w:jc w:val="center"/>
    </w:pPr>
    <w:rPr>
      <w:b/>
      <w:bCs/>
    </w:rPr>
  </w:style>
  <w:style w:type="paragraph" w:customStyle="1" w:styleId="Hesber">
    <w:name w:val="Hesber"/>
    <w:basedOn w:val="a"/>
    <w:rsid w:val="00E43C9A"/>
    <w:pPr>
      <w:snapToGrid w:val="0"/>
      <w:spacing w:before="0" w:line="360" w:lineRule="auto"/>
    </w:pPr>
    <w:rPr>
      <w:rFonts w:ascii="Arial" w:eastAsia="Arial Unicode MS" w:hAnsi="Arial" w:cs="David"/>
      <w:snapToGrid w:val="0"/>
      <w:spacing w:val="0"/>
      <w:sz w:val="20"/>
      <w:szCs w:val="26"/>
    </w:rPr>
  </w:style>
  <w:style w:type="paragraph" w:styleId="a3">
    <w:name w:val="footer"/>
    <w:basedOn w:val="a"/>
    <w:link w:val="a4"/>
    <w:rsid w:val="00E43C9A"/>
    <w:pPr>
      <w:tabs>
        <w:tab w:val="center" w:pos="4153"/>
        <w:tab w:val="right" w:pos="8306"/>
      </w:tabs>
    </w:pPr>
  </w:style>
  <w:style w:type="character" w:customStyle="1" w:styleId="a4">
    <w:name w:val="כותרת תחתונה תו"/>
    <w:basedOn w:val="a0"/>
    <w:link w:val="a3"/>
    <w:rsid w:val="00E43C9A"/>
    <w:rPr>
      <w:rFonts w:ascii="Hadasa Roso SL" w:eastAsia="MS Mincho" w:hAnsi="Hadasa Roso SL" w:cs="Hadasa Roso SL"/>
      <w:color w:val="000000"/>
      <w:spacing w:val="1"/>
      <w:sz w:val="17"/>
      <w:szCs w:val="17"/>
      <w:lang w:eastAsia="ja-JP"/>
    </w:rPr>
  </w:style>
  <w:style w:type="paragraph" w:customStyle="1" w:styleId="HeadDivreiHesber">
    <w:name w:val="Head DivreiHesber"/>
    <w:basedOn w:val="a"/>
    <w:rsid w:val="00E43C9A"/>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5">
    <w:name w:val="page number"/>
    <w:basedOn w:val="a0"/>
    <w:rsid w:val="00E43C9A"/>
  </w:style>
  <w:style w:type="paragraph" w:customStyle="1" w:styleId="David">
    <w:name w:val="רגיל + (עברית ושפות אחרות) David"/>
    <w:aliases w:val="‏13 נק',מודגש,אחרי:  6 נק'"/>
    <w:basedOn w:val="a"/>
    <w:rsid w:val="00E43C9A"/>
    <w:pPr>
      <w:ind w:firstLine="0"/>
      <w:jc w:val="left"/>
    </w:pPr>
    <w:rPr>
      <w:rFonts w:cs="David"/>
      <w:sz w:val="26"/>
      <w:szCs w:val="26"/>
    </w:rPr>
  </w:style>
  <w:style w:type="character" w:styleId="a6">
    <w:name w:val="annotation reference"/>
    <w:basedOn w:val="a0"/>
    <w:semiHidden/>
    <w:unhideWhenUsed/>
    <w:rsid w:val="00E43C9A"/>
    <w:rPr>
      <w:sz w:val="16"/>
      <w:szCs w:val="16"/>
    </w:rPr>
  </w:style>
  <w:style w:type="paragraph" w:styleId="a7">
    <w:name w:val="annotation text"/>
    <w:basedOn w:val="a"/>
    <w:link w:val="a8"/>
    <w:semiHidden/>
    <w:unhideWhenUsed/>
    <w:rsid w:val="00E43C9A"/>
    <w:pPr>
      <w:spacing w:line="240" w:lineRule="auto"/>
    </w:pPr>
    <w:rPr>
      <w:sz w:val="20"/>
      <w:szCs w:val="20"/>
    </w:rPr>
  </w:style>
  <w:style w:type="character" w:customStyle="1" w:styleId="a8">
    <w:name w:val="טקסט הערה תו"/>
    <w:basedOn w:val="a0"/>
    <w:link w:val="a7"/>
    <w:semiHidden/>
    <w:rsid w:val="00E43C9A"/>
    <w:rPr>
      <w:rFonts w:ascii="Hadasa Roso SL" w:eastAsia="MS Mincho" w:hAnsi="Hadasa Roso SL" w:cs="Hadasa Roso SL"/>
      <w:color w:val="000000"/>
      <w:spacing w:val="1"/>
      <w:sz w:val="20"/>
      <w:szCs w:val="20"/>
      <w:lang w:eastAsia="ja-JP"/>
    </w:rPr>
  </w:style>
  <w:style w:type="paragraph" w:styleId="a9">
    <w:name w:val="Balloon Text"/>
    <w:basedOn w:val="a"/>
    <w:link w:val="aa"/>
    <w:uiPriority w:val="99"/>
    <w:semiHidden/>
    <w:unhideWhenUsed/>
    <w:rsid w:val="00E43C9A"/>
    <w:pPr>
      <w:spacing w:before="0" w:line="240" w:lineRule="auto"/>
    </w:pPr>
    <w:rPr>
      <w:rFonts w:ascii="Tahoma" w:hAnsi="Tahoma" w:cs="Tahoma"/>
      <w:sz w:val="18"/>
      <w:szCs w:val="18"/>
    </w:rPr>
  </w:style>
  <w:style w:type="character" w:customStyle="1" w:styleId="aa">
    <w:name w:val="טקסט בלונים תו"/>
    <w:basedOn w:val="a0"/>
    <w:link w:val="a9"/>
    <w:uiPriority w:val="99"/>
    <w:semiHidden/>
    <w:rsid w:val="00E43C9A"/>
    <w:rPr>
      <w:rFonts w:ascii="Tahoma" w:eastAsia="MS Mincho" w:hAnsi="Tahoma" w:cs="Tahoma"/>
      <w:color w:val="000000"/>
      <w:spacing w:val="1"/>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9A"/>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rsid w:val="00E43C9A"/>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TableText">
    <w:name w:val="Table Text"/>
    <w:basedOn w:val="a"/>
    <w:rsid w:val="00E43C9A"/>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E43C9A"/>
  </w:style>
  <w:style w:type="paragraph" w:customStyle="1" w:styleId="TableBlock">
    <w:name w:val="Table Block"/>
    <w:basedOn w:val="TableText"/>
    <w:rsid w:val="00E43C9A"/>
    <w:pPr>
      <w:ind w:right="0"/>
      <w:jc w:val="both"/>
    </w:pPr>
  </w:style>
  <w:style w:type="paragraph" w:customStyle="1" w:styleId="TableHead">
    <w:name w:val="Table Head"/>
    <w:basedOn w:val="TableText"/>
    <w:rsid w:val="00E43C9A"/>
    <w:pPr>
      <w:ind w:right="0"/>
      <w:jc w:val="center"/>
    </w:pPr>
    <w:rPr>
      <w:b/>
      <w:bCs/>
    </w:rPr>
  </w:style>
  <w:style w:type="paragraph" w:customStyle="1" w:styleId="Hesber">
    <w:name w:val="Hesber"/>
    <w:basedOn w:val="a"/>
    <w:rsid w:val="00E43C9A"/>
    <w:pPr>
      <w:snapToGrid w:val="0"/>
      <w:spacing w:before="0" w:line="360" w:lineRule="auto"/>
    </w:pPr>
    <w:rPr>
      <w:rFonts w:ascii="Arial" w:eastAsia="Arial Unicode MS" w:hAnsi="Arial" w:cs="David"/>
      <w:snapToGrid w:val="0"/>
      <w:spacing w:val="0"/>
      <w:sz w:val="20"/>
      <w:szCs w:val="26"/>
    </w:rPr>
  </w:style>
  <w:style w:type="paragraph" w:styleId="a3">
    <w:name w:val="footer"/>
    <w:basedOn w:val="a"/>
    <w:link w:val="a4"/>
    <w:rsid w:val="00E43C9A"/>
    <w:pPr>
      <w:tabs>
        <w:tab w:val="center" w:pos="4153"/>
        <w:tab w:val="right" w:pos="8306"/>
      </w:tabs>
    </w:pPr>
  </w:style>
  <w:style w:type="character" w:customStyle="1" w:styleId="a4">
    <w:name w:val="כותרת תחתונה תו"/>
    <w:basedOn w:val="a0"/>
    <w:link w:val="a3"/>
    <w:rsid w:val="00E43C9A"/>
    <w:rPr>
      <w:rFonts w:ascii="Hadasa Roso SL" w:eastAsia="MS Mincho" w:hAnsi="Hadasa Roso SL" w:cs="Hadasa Roso SL"/>
      <w:color w:val="000000"/>
      <w:spacing w:val="1"/>
      <w:sz w:val="17"/>
      <w:szCs w:val="17"/>
      <w:lang w:eastAsia="ja-JP"/>
    </w:rPr>
  </w:style>
  <w:style w:type="paragraph" w:customStyle="1" w:styleId="HeadDivreiHesber">
    <w:name w:val="Head DivreiHesber"/>
    <w:basedOn w:val="a"/>
    <w:rsid w:val="00E43C9A"/>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5">
    <w:name w:val="page number"/>
    <w:basedOn w:val="a0"/>
    <w:rsid w:val="00E43C9A"/>
  </w:style>
  <w:style w:type="paragraph" w:customStyle="1" w:styleId="David">
    <w:name w:val="רגיל + (עברית ושפות אחרות) David"/>
    <w:aliases w:val="‏13 נק',מודגש,אחרי:  6 נק'"/>
    <w:basedOn w:val="a"/>
    <w:rsid w:val="00E43C9A"/>
    <w:pPr>
      <w:ind w:firstLine="0"/>
      <w:jc w:val="left"/>
    </w:pPr>
    <w:rPr>
      <w:rFonts w:cs="David"/>
      <w:sz w:val="26"/>
      <w:szCs w:val="26"/>
    </w:rPr>
  </w:style>
  <w:style w:type="character" w:styleId="a6">
    <w:name w:val="annotation reference"/>
    <w:basedOn w:val="a0"/>
    <w:semiHidden/>
    <w:unhideWhenUsed/>
    <w:rsid w:val="00E43C9A"/>
    <w:rPr>
      <w:sz w:val="16"/>
      <w:szCs w:val="16"/>
    </w:rPr>
  </w:style>
  <w:style w:type="paragraph" w:styleId="a7">
    <w:name w:val="annotation text"/>
    <w:basedOn w:val="a"/>
    <w:link w:val="a8"/>
    <w:semiHidden/>
    <w:unhideWhenUsed/>
    <w:rsid w:val="00E43C9A"/>
    <w:pPr>
      <w:spacing w:line="240" w:lineRule="auto"/>
    </w:pPr>
    <w:rPr>
      <w:sz w:val="20"/>
      <w:szCs w:val="20"/>
    </w:rPr>
  </w:style>
  <w:style w:type="character" w:customStyle="1" w:styleId="a8">
    <w:name w:val="טקסט הערה תו"/>
    <w:basedOn w:val="a0"/>
    <w:link w:val="a7"/>
    <w:semiHidden/>
    <w:rsid w:val="00E43C9A"/>
    <w:rPr>
      <w:rFonts w:ascii="Hadasa Roso SL" w:eastAsia="MS Mincho" w:hAnsi="Hadasa Roso SL" w:cs="Hadasa Roso SL"/>
      <w:color w:val="000000"/>
      <w:spacing w:val="1"/>
      <w:sz w:val="20"/>
      <w:szCs w:val="20"/>
      <w:lang w:eastAsia="ja-JP"/>
    </w:rPr>
  </w:style>
  <w:style w:type="paragraph" w:styleId="a9">
    <w:name w:val="Balloon Text"/>
    <w:basedOn w:val="a"/>
    <w:link w:val="aa"/>
    <w:uiPriority w:val="99"/>
    <w:semiHidden/>
    <w:unhideWhenUsed/>
    <w:rsid w:val="00E43C9A"/>
    <w:pPr>
      <w:spacing w:before="0" w:line="240" w:lineRule="auto"/>
    </w:pPr>
    <w:rPr>
      <w:rFonts w:ascii="Tahoma" w:hAnsi="Tahoma" w:cs="Tahoma"/>
      <w:sz w:val="18"/>
      <w:szCs w:val="18"/>
    </w:rPr>
  </w:style>
  <w:style w:type="character" w:customStyle="1" w:styleId="aa">
    <w:name w:val="טקסט בלונים תו"/>
    <w:basedOn w:val="a0"/>
    <w:link w:val="a9"/>
    <w:uiPriority w:val="99"/>
    <w:semiHidden/>
    <w:rsid w:val="00E43C9A"/>
    <w:rPr>
      <w:rFonts w:ascii="Tahoma" w:eastAsia="MS Mincho" w:hAnsi="Tahoma" w:cs="Tahoma"/>
      <w:color w:val="000000"/>
      <w:spacing w:val="1"/>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1263</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ahouvya stern</dc:creator>
  <cp:lastModifiedBy>Lenovo_Win7</cp:lastModifiedBy>
  <cp:revision>2</cp:revision>
  <dcterms:created xsi:type="dcterms:W3CDTF">2014-10-13T13:51:00Z</dcterms:created>
  <dcterms:modified xsi:type="dcterms:W3CDTF">2014-10-13T13:51:00Z</dcterms:modified>
</cp:coreProperties>
</file>